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D18FE" w14:textId="729A03F3" w:rsidR="001318FE" w:rsidRPr="00734B41" w:rsidRDefault="00436B9E" w:rsidP="00734B41">
      <w:pPr>
        <w:pStyle w:val="Title"/>
        <w:spacing w:line="288" w:lineRule="auto"/>
        <w:rPr>
          <w:rFonts w:ascii="Arial" w:hAnsi="Arial" w:cs="Arial"/>
          <w:b/>
          <w:bCs/>
          <w:color w:val="4D647C"/>
          <w:sz w:val="28"/>
          <w:szCs w:val="28"/>
        </w:rPr>
      </w:pPr>
      <w:r w:rsidRPr="00734B41">
        <w:rPr>
          <w:rFonts w:ascii="Arial" w:hAnsi="Arial" w:cs="Arial"/>
          <w:b/>
          <w:bCs/>
          <w:caps w:val="0"/>
          <w:color w:val="4D647C"/>
          <w:sz w:val="28"/>
          <w:szCs w:val="28"/>
        </w:rPr>
        <w:t>Diversity, Equity and Inclusion Survey 202</w:t>
      </w:r>
      <w:r w:rsidR="00936452" w:rsidRPr="00734B41">
        <w:rPr>
          <w:rFonts w:ascii="Arial" w:hAnsi="Arial" w:cs="Arial"/>
          <w:b/>
          <w:bCs/>
          <w:caps w:val="0"/>
          <w:color w:val="4D647C"/>
          <w:sz w:val="28"/>
          <w:szCs w:val="28"/>
        </w:rPr>
        <w:t>2</w:t>
      </w:r>
    </w:p>
    <w:p w14:paraId="3B573B6F" w14:textId="77777777" w:rsidR="00203C98" w:rsidRPr="00734B41" w:rsidRDefault="00203C98" w:rsidP="00734B41">
      <w:pPr>
        <w:spacing w:before="0" w:after="0" w:line="288" w:lineRule="auto"/>
        <w:rPr>
          <w:rFonts w:ascii="Arial" w:hAnsi="Arial" w:cs="Arial"/>
          <w:b/>
          <w:bCs/>
          <w:sz w:val="22"/>
          <w:szCs w:val="22"/>
        </w:rPr>
      </w:pPr>
    </w:p>
    <w:p w14:paraId="54621775" w14:textId="19967019" w:rsidR="00436B9E" w:rsidRPr="00734B41" w:rsidRDefault="00436B9E" w:rsidP="00D80EB4">
      <w:pPr>
        <w:spacing w:before="0" w:after="0" w:line="288" w:lineRule="auto"/>
        <w:rPr>
          <w:rFonts w:ascii="Arial" w:hAnsi="Arial" w:cs="Arial"/>
          <w:b/>
          <w:bCs/>
          <w:color w:val="4D647C"/>
          <w:sz w:val="28"/>
          <w:szCs w:val="28"/>
        </w:rPr>
      </w:pPr>
      <w:r w:rsidRPr="00734B41">
        <w:rPr>
          <w:rFonts w:ascii="Arial" w:hAnsi="Arial" w:cs="Arial"/>
          <w:b/>
          <w:bCs/>
          <w:color w:val="4D647C"/>
          <w:sz w:val="28"/>
          <w:szCs w:val="28"/>
        </w:rPr>
        <w:t>Context</w:t>
      </w:r>
    </w:p>
    <w:p w14:paraId="11E7B43B" w14:textId="77777777" w:rsidR="00203C98" w:rsidRPr="00734B41" w:rsidRDefault="00203C98" w:rsidP="00D80EB4">
      <w:pPr>
        <w:spacing w:before="0" w:after="0" w:line="288" w:lineRule="auto"/>
        <w:rPr>
          <w:rFonts w:ascii="Arial" w:hAnsi="Arial" w:cs="Arial"/>
          <w:sz w:val="22"/>
          <w:szCs w:val="22"/>
        </w:rPr>
      </w:pPr>
    </w:p>
    <w:p w14:paraId="215CBD46" w14:textId="44F0CCE5" w:rsidR="00936452" w:rsidRDefault="00936452" w:rsidP="00D80EB4">
      <w:pPr>
        <w:spacing w:before="0" w:after="0" w:line="288" w:lineRule="auto"/>
        <w:rPr>
          <w:rFonts w:ascii="Arial" w:hAnsi="Arial" w:cs="Arial"/>
          <w:sz w:val="22"/>
          <w:szCs w:val="22"/>
        </w:rPr>
      </w:pPr>
      <w:r w:rsidRPr="00734B41">
        <w:rPr>
          <w:rFonts w:ascii="Arial" w:hAnsi="Arial" w:cs="Arial"/>
          <w:sz w:val="22"/>
          <w:szCs w:val="22"/>
        </w:rPr>
        <w:t>In Autumn 2022</w:t>
      </w:r>
      <w:r w:rsidR="00224DF1">
        <w:rPr>
          <w:rFonts w:ascii="Arial" w:hAnsi="Arial" w:cs="Arial"/>
          <w:sz w:val="22"/>
          <w:szCs w:val="22"/>
        </w:rPr>
        <w:t>,</w:t>
      </w:r>
      <w:r w:rsidRPr="00734B41">
        <w:rPr>
          <w:rFonts w:ascii="Arial" w:hAnsi="Arial" w:cs="Arial"/>
          <w:sz w:val="22"/>
          <w:szCs w:val="22"/>
        </w:rPr>
        <w:t xml:space="preserve"> PHF carried out our now annual Diversity Survey. We have committed to collecting and will continue to monitor data on the characteristics of our employees, trustees and advisors. We believe this gives us a degree of insight into the diversity of the organisation, and as we build on data from previous years, we may start to identify trends which might not be revealed in a standalone survey. The hope is that this long view will inform our thinking and contribute to decision making. </w:t>
      </w:r>
    </w:p>
    <w:p w14:paraId="58F7641A" w14:textId="77777777" w:rsidR="00FA0786" w:rsidRPr="00734B41" w:rsidRDefault="00FA0786" w:rsidP="00D80EB4">
      <w:pPr>
        <w:spacing w:before="0" w:after="0" w:line="288" w:lineRule="auto"/>
        <w:rPr>
          <w:rFonts w:ascii="Arial" w:hAnsi="Arial" w:cs="Arial"/>
          <w:sz w:val="22"/>
          <w:szCs w:val="22"/>
        </w:rPr>
      </w:pPr>
    </w:p>
    <w:p w14:paraId="140EFD2D" w14:textId="77F3EB1B" w:rsidR="00936452" w:rsidRPr="00734B41" w:rsidRDefault="00936452" w:rsidP="00D80EB4">
      <w:pPr>
        <w:spacing w:before="0" w:after="0" w:line="288" w:lineRule="auto"/>
        <w:rPr>
          <w:rFonts w:ascii="Arial" w:hAnsi="Arial" w:cs="Arial"/>
          <w:sz w:val="22"/>
          <w:szCs w:val="22"/>
        </w:rPr>
      </w:pPr>
      <w:r w:rsidRPr="00734B41">
        <w:rPr>
          <w:rFonts w:ascii="Arial" w:hAnsi="Arial" w:cs="Arial"/>
          <w:sz w:val="22"/>
          <w:szCs w:val="22"/>
        </w:rPr>
        <w:t>In line with the standard set in 2021, all employees, trustees and advisors were invited to take part. Participation was optional and it’s acknowledged that that the results detailed in this report can only represent those that chose to take part. The report therefore gives an indication and a starting point for conversation but is not a complete picture.</w:t>
      </w:r>
      <w:r w:rsidR="00710945">
        <w:rPr>
          <w:rFonts w:ascii="Arial" w:hAnsi="Arial" w:cs="Arial"/>
          <w:sz w:val="22"/>
          <w:szCs w:val="22"/>
        </w:rPr>
        <w:t xml:space="preserve"> </w:t>
      </w:r>
      <w:r w:rsidRPr="00734B41">
        <w:rPr>
          <w:rFonts w:ascii="Arial" w:hAnsi="Arial" w:cs="Arial"/>
          <w:sz w:val="22"/>
          <w:szCs w:val="22"/>
        </w:rPr>
        <w:t xml:space="preserve">This report will show the results of this year’s survey and will draw comparisons between the data of this and previous surveys of 2021 and where possible, 2019. </w:t>
      </w:r>
    </w:p>
    <w:p w14:paraId="58C495DA" w14:textId="77777777" w:rsidR="00203C98" w:rsidRPr="00734B41" w:rsidRDefault="00203C98" w:rsidP="00D80EB4">
      <w:pPr>
        <w:spacing w:before="0" w:after="0" w:line="288" w:lineRule="auto"/>
        <w:rPr>
          <w:rFonts w:ascii="Arial" w:hAnsi="Arial" w:cs="Arial"/>
          <w:b/>
          <w:bCs/>
          <w:sz w:val="22"/>
          <w:szCs w:val="22"/>
        </w:rPr>
      </w:pPr>
    </w:p>
    <w:p w14:paraId="067AFAA4" w14:textId="3B85C03B" w:rsidR="00203C98" w:rsidRPr="00734B41" w:rsidRDefault="00FD3DDD" w:rsidP="00D80EB4">
      <w:pPr>
        <w:spacing w:before="0" w:after="0" w:line="288" w:lineRule="auto"/>
        <w:rPr>
          <w:rFonts w:ascii="Arial" w:hAnsi="Arial" w:cs="Arial"/>
          <w:b/>
          <w:bCs/>
          <w:color w:val="4D647C"/>
          <w:sz w:val="28"/>
          <w:szCs w:val="28"/>
        </w:rPr>
      </w:pPr>
      <w:r w:rsidRPr="00734B41">
        <w:rPr>
          <w:rFonts w:ascii="Arial" w:hAnsi="Arial" w:cs="Arial"/>
          <w:b/>
          <w:bCs/>
          <w:color w:val="4D647C"/>
          <w:sz w:val="28"/>
          <w:szCs w:val="28"/>
        </w:rPr>
        <w:t>Participation</w:t>
      </w:r>
    </w:p>
    <w:p w14:paraId="3B565CF3" w14:textId="1DB61291" w:rsidR="00203C98" w:rsidRPr="00734B41" w:rsidRDefault="00203C98" w:rsidP="00D80EB4">
      <w:pPr>
        <w:spacing w:before="0" w:after="0" w:line="288" w:lineRule="auto"/>
        <w:rPr>
          <w:rFonts w:ascii="Arial" w:hAnsi="Arial" w:cs="Arial"/>
          <w:sz w:val="22"/>
          <w:szCs w:val="22"/>
        </w:rPr>
      </w:pPr>
    </w:p>
    <w:p w14:paraId="36EE24D2" w14:textId="1EDC83BD" w:rsidR="00203C98" w:rsidRPr="00734B41" w:rsidRDefault="00203C98" w:rsidP="00D80EB4">
      <w:pPr>
        <w:spacing w:before="0" w:after="0" w:line="288" w:lineRule="auto"/>
        <w:rPr>
          <w:rFonts w:ascii="Arial" w:hAnsi="Arial" w:cs="Arial"/>
          <w:sz w:val="22"/>
          <w:szCs w:val="22"/>
        </w:rPr>
      </w:pPr>
      <w:r w:rsidRPr="00734B41">
        <w:rPr>
          <w:rFonts w:ascii="Arial" w:hAnsi="Arial" w:cs="Arial"/>
          <w:sz w:val="22"/>
          <w:szCs w:val="22"/>
        </w:rPr>
        <w:t>All employees, trustees and advisors were invited to take part in the survey making a total of 75 possible respondents. Out of these there were 53 responses, of which 35 were employees, 10 were trustees and 8 were advisors (Chart 1).</w:t>
      </w:r>
    </w:p>
    <w:p w14:paraId="69074B74" w14:textId="5896EC49" w:rsidR="00203C98" w:rsidRPr="00734B41" w:rsidRDefault="00676103" w:rsidP="00734B41">
      <w:pPr>
        <w:spacing w:before="0" w:after="0" w:line="288" w:lineRule="auto"/>
        <w:rPr>
          <w:rFonts w:ascii="Arial" w:hAnsi="Arial" w:cs="Arial"/>
          <w:sz w:val="22"/>
          <w:szCs w:val="22"/>
        </w:rPr>
      </w:pPr>
      <w:r w:rsidRPr="00734B41">
        <w:rPr>
          <w:rFonts w:ascii="Arial" w:hAnsi="Arial" w:cs="Arial"/>
          <w:noProof/>
          <w:sz w:val="22"/>
          <w:szCs w:val="22"/>
        </w:rPr>
        <w:drawing>
          <wp:anchor distT="0" distB="0" distL="114300" distR="114300" simplePos="0" relativeHeight="251673600" behindDoc="0" locked="0" layoutInCell="1" allowOverlap="1" wp14:anchorId="4892E42C" wp14:editId="4928972F">
            <wp:simplePos x="0" y="0"/>
            <wp:positionH relativeFrom="margin">
              <wp:align>center</wp:align>
            </wp:positionH>
            <wp:positionV relativeFrom="paragraph">
              <wp:posOffset>162560</wp:posOffset>
            </wp:positionV>
            <wp:extent cx="4320000" cy="2520000"/>
            <wp:effectExtent l="0" t="0" r="4445" b="13970"/>
            <wp:wrapTopAndBottom/>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57E67FB3" w14:textId="30F39100" w:rsidR="00203C98" w:rsidRPr="00734B41" w:rsidRDefault="00FA0786" w:rsidP="00734B41">
      <w:pPr>
        <w:spacing w:before="0" w:after="0" w:line="288" w:lineRule="auto"/>
        <w:rPr>
          <w:rFonts w:ascii="Arial" w:hAnsi="Arial" w:cs="Arial"/>
          <w:sz w:val="22"/>
          <w:szCs w:val="22"/>
        </w:rPr>
      </w:pPr>
      <w:r w:rsidRPr="00734B41">
        <w:rPr>
          <w:rFonts w:ascii="Arial" w:hAnsi="Arial" w:cs="Arial"/>
          <w:noProof/>
          <w:sz w:val="22"/>
          <w:szCs w:val="22"/>
        </w:rPr>
        <mc:AlternateContent>
          <mc:Choice Requires="wps">
            <w:drawing>
              <wp:anchor distT="0" distB="0" distL="114300" distR="114300" simplePos="0" relativeHeight="251674624" behindDoc="0" locked="0" layoutInCell="1" allowOverlap="1" wp14:anchorId="52E1718B" wp14:editId="0B3CA505">
                <wp:simplePos x="0" y="0"/>
                <wp:positionH relativeFrom="margin">
                  <wp:posOffset>647700</wp:posOffset>
                </wp:positionH>
                <wp:positionV relativeFrom="paragraph">
                  <wp:posOffset>2536190</wp:posOffset>
                </wp:positionV>
                <wp:extent cx="4638675" cy="318135"/>
                <wp:effectExtent l="0" t="0" r="9525" b="5715"/>
                <wp:wrapSquare wrapText="bothSides"/>
                <wp:docPr id="2" name="Text Box 2"/>
                <wp:cNvGraphicFramePr/>
                <a:graphic xmlns:a="http://schemas.openxmlformats.org/drawingml/2006/main">
                  <a:graphicData uri="http://schemas.microsoft.com/office/word/2010/wordprocessingShape">
                    <wps:wsp>
                      <wps:cNvSpPr txBox="1"/>
                      <wps:spPr>
                        <a:xfrm>
                          <a:off x="0" y="0"/>
                          <a:ext cx="4638675" cy="318135"/>
                        </a:xfrm>
                        <a:prstGeom prst="rect">
                          <a:avLst/>
                        </a:prstGeom>
                        <a:solidFill>
                          <a:prstClr val="white"/>
                        </a:solidFill>
                        <a:ln>
                          <a:noFill/>
                        </a:ln>
                      </wps:spPr>
                      <wps:txbx>
                        <w:txbxContent>
                          <w:p w14:paraId="5FFC0D44" w14:textId="77777777" w:rsidR="00203C98" w:rsidRPr="00676103" w:rsidRDefault="00203C98" w:rsidP="00203C98">
                            <w:pPr>
                              <w:pStyle w:val="Caption"/>
                              <w:jc w:val="center"/>
                              <w:rPr>
                                <w:rFonts w:ascii="Arial" w:hAnsi="Arial" w:cs="Arial"/>
                                <w:noProof/>
                                <w:color w:val="4D647C"/>
                                <w:sz w:val="28"/>
                                <w:szCs w:val="28"/>
                              </w:rPr>
                            </w:pPr>
                            <w:r w:rsidRPr="00676103">
                              <w:rPr>
                                <w:rFonts w:ascii="Arial" w:hAnsi="Arial" w:cs="Arial"/>
                                <w:color w:val="4D647C"/>
                                <w:sz w:val="22"/>
                                <w:szCs w:val="22"/>
                              </w:rPr>
                              <w:t xml:space="preserve">Chart </w:t>
                            </w:r>
                            <w:r w:rsidRPr="00676103">
                              <w:rPr>
                                <w:rFonts w:ascii="Arial" w:hAnsi="Arial" w:cs="Arial"/>
                                <w:color w:val="4D647C"/>
                                <w:sz w:val="22"/>
                                <w:szCs w:val="22"/>
                              </w:rPr>
                              <w:fldChar w:fldCharType="begin"/>
                            </w:r>
                            <w:r w:rsidRPr="00676103">
                              <w:rPr>
                                <w:rFonts w:ascii="Arial" w:hAnsi="Arial" w:cs="Arial"/>
                                <w:color w:val="4D647C"/>
                                <w:sz w:val="22"/>
                                <w:szCs w:val="22"/>
                              </w:rPr>
                              <w:instrText xml:space="preserve"> SEQ Chart \* ARABIC </w:instrText>
                            </w:r>
                            <w:r w:rsidRPr="00676103">
                              <w:rPr>
                                <w:rFonts w:ascii="Arial" w:hAnsi="Arial" w:cs="Arial"/>
                                <w:color w:val="4D647C"/>
                                <w:sz w:val="22"/>
                                <w:szCs w:val="22"/>
                              </w:rPr>
                              <w:fldChar w:fldCharType="separate"/>
                            </w:r>
                            <w:r w:rsidRPr="00676103">
                              <w:rPr>
                                <w:rFonts w:ascii="Arial" w:hAnsi="Arial" w:cs="Arial"/>
                                <w:noProof/>
                                <w:color w:val="4D647C"/>
                                <w:sz w:val="22"/>
                                <w:szCs w:val="22"/>
                              </w:rPr>
                              <w:t>1</w:t>
                            </w:r>
                            <w:r w:rsidRPr="00676103">
                              <w:rPr>
                                <w:rFonts w:ascii="Arial" w:hAnsi="Arial" w:cs="Arial"/>
                                <w:noProof/>
                                <w:color w:val="4D647C"/>
                                <w:sz w:val="22"/>
                                <w:szCs w:val="2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1718B" id="_x0000_t202" coordsize="21600,21600" o:spt="202" path="m,l,21600r21600,l21600,xe">
                <v:stroke joinstyle="miter"/>
                <v:path gradientshapeok="t" o:connecttype="rect"/>
              </v:shapetype>
              <v:shape id="Text Box 2" o:spid="_x0000_s1026" type="#_x0000_t202" style="position:absolute;margin-left:51pt;margin-top:199.7pt;width:365.25pt;height:25.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1MGQIAADsEAAAOAAAAZHJzL2Uyb0RvYy54bWysU01v2zAMvQ/YfxB0X5w0axYEcYosRYYB&#10;RVsgHXpWZCkWIIsapcTOfv0ofyRbt9Owi0yTFKn3Hrm8ayrLTgqDAZfzyWjMmXISCuMOOf/2sv0w&#10;5yxE4Qphwamcn1Xgd6v375a1X6gbKMEWChkVcWFR+5yXMfpFlgVZqkqEEXjlKKgBKxHpFw9ZgaKm&#10;6pXNbsbjWVYDFh5BqhDIe98F+aqtr7WS8UnroCKzOae3xfbE9tynM1stxeKAwpdG9s8Q//CKShhH&#10;TS+l7kUU7Ijmj1KVkQgBdBxJqDLQ2kjVYiA0k/EbNLtSeNViIXKCv9AU/l9Z+Xja+WdksfkMDQmY&#10;CKl9WARyJjyNxip96aWM4kTh+UKbaiKT5Pw4m85nn245kxSbTuaT6W0qk11vewzxi4KKJSPnSLK0&#10;bInTQ4hd6pCSmgWwptgaa9NPCmwsspMgCevSRNUX/y3LupTrIN3qCiZPdoWSrNjsmx7fHoozwUbo&#10;JiJ4uTXU6EGE+CyQRoCQ0ljHJzq0hTrn0FuclYA//uZP+aQMRTmraaRyHr4fBSrO7FdHmqX5Gwwc&#10;jP1guGO1AYI4oYXxsjXpAkY7mBqheqVpX6cuFBJOUq+cx8HcxG6waVukWq/bJJoyL+KD23mZSg+E&#10;vjSvAn0vRyQhH2EYNrF4o0qX29G7PkbQppUsEdqx2PNME9qK3m9TWoFf/9us686vfgIAAP//AwBQ&#10;SwMEFAAGAAgAAAAhAJjwYwrhAAAACwEAAA8AAABkcnMvZG93bnJldi54bWxMj0FPg0AUhO8m/ofN&#10;M/Fi7CKlTUGWRlu91UNr0/MruwKRfUvYpdB/7/Okx8lMZr7J15NtxcX0vnGk4GkWgTBUOt1QpeD4&#10;+f64AuEDksbWkVFwNR7Wxe1Njpl2I+3N5RAqwSXkM1RQh9BlUvqyNhb9zHWG2PtyvcXAsq+k7nHk&#10;ctvKOIqW0mJDvFBjZza1Kb8Pg1Ww3PbDuKfNw/b4tsOPropPr9eTUvd308sziGCm8BeGX3xGh4KZ&#10;zm4g7UXLOor5S1AwT9MEBCdW83gB4qwgSdIFyCKX/z8UPwAAAP//AwBQSwECLQAUAAYACAAAACEA&#10;toM4kv4AAADhAQAAEwAAAAAAAAAAAAAAAAAAAAAAW0NvbnRlbnRfVHlwZXNdLnhtbFBLAQItABQA&#10;BgAIAAAAIQA4/SH/1gAAAJQBAAALAAAAAAAAAAAAAAAAAC8BAABfcmVscy8ucmVsc1BLAQItABQA&#10;BgAIAAAAIQALdM1MGQIAADsEAAAOAAAAAAAAAAAAAAAAAC4CAABkcnMvZTJvRG9jLnhtbFBLAQIt&#10;ABQABgAIAAAAIQCY8GMK4QAAAAsBAAAPAAAAAAAAAAAAAAAAAHMEAABkcnMvZG93bnJldi54bWxQ&#10;SwUGAAAAAAQABADzAAAAgQUAAAAA&#10;" stroked="f">
                <v:textbox inset="0,0,0,0">
                  <w:txbxContent>
                    <w:p w14:paraId="5FFC0D44" w14:textId="77777777" w:rsidR="00203C98" w:rsidRPr="00676103" w:rsidRDefault="00203C98" w:rsidP="00203C98">
                      <w:pPr>
                        <w:pStyle w:val="Caption"/>
                        <w:jc w:val="center"/>
                        <w:rPr>
                          <w:rFonts w:ascii="Arial" w:hAnsi="Arial" w:cs="Arial"/>
                          <w:noProof/>
                          <w:color w:val="4D647C"/>
                          <w:sz w:val="28"/>
                          <w:szCs w:val="28"/>
                        </w:rPr>
                      </w:pPr>
                      <w:r w:rsidRPr="00676103">
                        <w:rPr>
                          <w:rFonts w:ascii="Arial" w:hAnsi="Arial" w:cs="Arial"/>
                          <w:color w:val="4D647C"/>
                          <w:sz w:val="22"/>
                          <w:szCs w:val="22"/>
                        </w:rPr>
                        <w:t xml:space="preserve">Chart </w:t>
                      </w:r>
                      <w:r w:rsidRPr="00676103">
                        <w:rPr>
                          <w:rFonts w:ascii="Arial" w:hAnsi="Arial" w:cs="Arial"/>
                          <w:color w:val="4D647C"/>
                          <w:sz w:val="22"/>
                          <w:szCs w:val="22"/>
                        </w:rPr>
                        <w:fldChar w:fldCharType="begin"/>
                      </w:r>
                      <w:r w:rsidRPr="00676103">
                        <w:rPr>
                          <w:rFonts w:ascii="Arial" w:hAnsi="Arial" w:cs="Arial"/>
                          <w:color w:val="4D647C"/>
                          <w:sz w:val="22"/>
                          <w:szCs w:val="22"/>
                        </w:rPr>
                        <w:instrText xml:space="preserve"> SEQ Chart \* ARABIC </w:instrText>
                      </w:r>
                      <w:r w:rsidRPr="00676103">
                        <w:rPr>
                          <w:rFonts w:ascii="Arial" w:hAnsi="Arial" w:cs="Arial"/>
                          <w:color w:val="4D647C"/>
                          <w:sz w:val="22"/>
                          <w:szCs w:val="22"/>
                        </w:rPr>
                        <w:fldChar w:fldCharType="separate"/>
                      </w:r>
                      <w:r w:rsidRPr="00676103">
                        <w:rPr>
                          <w:rFonts w:ascii="Arial" w:hAnsi="Arial" w:cs="Arial"/>
                          <w:noProof/>
                          <w:color w:val="4D647C"/>
                          <w:sz w:val="22"/>
                          <w:szCs w:val="22"/>
                        </w:rPr>
                        <w:t>1</w:t>
                      </w:r>
                      <w:r w:rsidRPr="00676103">
                        <w:rPr>
                          <w:rFonts w:ascii="Arial" w:hAnsi="Arial" w:cs="Arial"/>
                          <w:noProof/>
                          <w:color w:val="4D647C"/>
                          <w:sz w:val="22"/>
                          <w:szCs w:val="22"/>
                        </w:rPr>
                        <w:fldChar w:fldCharType="end"/>
                      </w:r>
                    </w:p>
                  </w:txbxContent>
                </v:textbox>
                <w10:wrap type="square" anchorx="margin"/>
              </v:shape>
            </w:pict>
          </mc:Fallback>
        </mc:AlternateContent>
      </w:r>
    </w:p>
    <w:p w14:paraId="7F08F71C" w14:textId="5A756AAA" w:rsidR="00203C98" w:rsidRPr="00734B41" w:rsidRDefault="00203C98" w:rsidP="00734B41">
      <w:pPr>
        <w:spacing w:before="0" w:after="0" w:line="288" w:lineRule="auto"/>
        <w:jc w:val="both"/>
        <w:rPr>
          <w:rFonts w:ascii="Arial" w:hAnsi="Arial" w:cs="Arial"/>
          <w:sz w:val="22"/>
          <w:szCs w:val="22"/>
        </w:rPr>
      </w:pPr>
    </w:p>
    <w:p w14:paraId="28D864C3" w14:textId="109E5BE4" w:rsidR="00FA0786" w:rsidRDefault="00203C98" w:rsidP="00FA0786">
      <w:pPr>
        <w:spacing w:before="0" w:after="0" w:line="288" w:lineRule="auto"/>
        <w:rPr>
          <w:rFonts w:ascii="Arial" w:hAnsi="Arial" w:cs="Arial"/>
          <w:sz w:val="22"/>
          <w:szCs w:val="22"/>
        </w:rPr>
      </w:pPr>
      <w:r w:rsidRPr="00734B41">
        <w:rPr>
          <w:rFonts w:ascii="Arial" w:hAnsi="Arial" w:cs="Arial"/>
          <w:sz w:val="22"/>
          <w:szCs w:val="22"/>
        </w:rPr>
        <w:lastRenderedPageBreak/>
        <w:t xml:space="preserve">This translated to 71% of employees, 91% of trustees and 53% of advisors took part, in comparison to 81%, 70% and 29% participation respectively for 2021 as shown below. </w:t>
      </w:r>
    </w:p>
    <w:p w14:paraId="26380582" w14:textId="77777777" w:rsidR="00FA0786" w:rsidRDefault="00FA0786" w:rsidP="00FA0786">
      <w:pPr>
        <w:spacing w:before="0" w:after="0" w:line="288" w:lineRule="auto"/>
        <w:jc w:val="center"/>
        <w:rPr>
          <w:rFonts w:ascii="Arial" w:hAnsi="Arial" w:cs="Arial"/>
          <w:sz w:val="22"/>
          <w:szCs w:val="22"/>
        </w:rPr>
      </w:pPr>
    </w:p>
    <w:p w14:paraId="22D09A7C" w14:textId="7315DD51" w:rsidR="00203C98" w:rsidRPr="00734B41" w:rsidRDefault="00203C98" w:rsidP="00FA0786">
      <w:pPr>
        <w:spacing w:before="0" w:after="0" w:line="288" w:lineRule="auto"/>
        <w:jc w:val="center"/>
        <w:rPr>
          <w:rFonts w:ascii="Arial" w:hAnsi="Arial" w:cs="Arial"/>
          <w:sz w:val="22"/>
          <w:szCs w:val="22"/>
        </w:rPr>
      </w:pPr>
      <w:r w:rsidRPr="00734B41">
        <w:rPr>
          <w:rFonts w:ascii="Arial" w:hAnsi="Arial" w:cs="Arial"/>
          <w:noProof/>
          <w:sz w:val="22"/>
          <w:szCs w:val="22"/>
        </w:rPr>
        <w:drawing>
          <wp:inline distT="0" distB="0" distL="0" distR="0" wp14:anchorId="5ED673DF" wp14:editId="0E115D51">
            <wp:extent cx="4320000" cy="2880000"/>
            <wp:effectExtent l="0" t="0" r="4445" b="1587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C3447D" w14:textId="77777777" w:rsidR="00203C98" w:rsidRPr="00734B41" w:rsidRDefault="00203C98" w:rsidP="00734B41">
      <w:pPr>
        <w:pStyle w:val="Caption"/>
        <w:spacing w:before="0" w:after="0" w:line="288" w:lineRule="auto"/>
        <w:jc w:val="center"/>
        <w:rPr>
          <w:rFonts w:ascii="Arial" w:hAnsi="Arial" w:cs="Arial"/>
          <w:color w:val="4D647C"/>
          <w:sz w:val="22"/>
          <w:szCs w:val="22"/>
        </w:rPr>
      </w:pPr>
      <w:r w:rsidRPr="00734B41">
        <w:rPr>
          <w:rFonts w:ascii="Arial" w:hAnsi="Arial" w:cs="Arial"/>
          <w:color w:val="4D647C"/>
          <w:sz w:val="22"/>
          <w:szCs w:val="22"/>
        </w:rPr>
        <w:t xml:space="preserve">Chart </w:t>
      </w:r>
      <w:r w:rsidRPr="00734B41">
        <w:rPr>
          <w:rFonts w:ascii="Arial" w:hAnsi="Arial" w:cs="Arial"/>
          <w:color w:val="4D647C"/>
          <w:sz w:val="22"/>
          <w:szCs w:val="22"/>
        </w:rPr>
        <w:fldChar w:fldCharType="begin"/>
      </w:r>
      <w:r w:rsidRPr="00734B41">
        <w:rPr>
          <w:rFonts w:ascii="Arial" w:hAnsi="Arial" w:cs="Arial"/>
          <w:color w:val="4D647C"/>
          <w:sz w:val="22"/>
          <w:szCs w:val="22"/>
        </w:rPr>
        <w:instrText xml:space="preserve"> SEQ Chart \* ARABIC </w:instrText>
      </w:r>
      <w:r w:rsidRPr="00734B41">
        <w:rPr>
          <w:rFonts w:ascii="Arial" w:hAnsi="Arial" w:cs="Arial"/>
          <w:color w:val="4D647C"/>
          <w:sz w:val="22"/>
          <w:szCs w:val="22"/>
        </w:rPr>
        <w:fldChar w:fldCharType="separate"/>
      </w:r>
      <w:r w:rsidRPr="00734B41">
        <w:rPr>
          <w:rFonts w:ascii="Arial" w:hAnsi="Arial" w:cs="Arial"/>
          <w:noProof/>
          <w:color w:val="4D647C"/>
          <w:sz w:val="22"/>
          <w:szCs w:val="22"/>
        </w:rPr>
        <w:t>2</w:t>
      </w:r>
      <w:r w:rsidRPr="00734B41">
        <w:rPr>
          <w:rFonts w:ascii="Arial" w:hAnsi="Arial" w:cs="Arial"/>
          <w:noProof/>
          <w:color w:val="4D647C"/>
          <w:sz w:val="22"/>
          <w:szCs w:val="22"/>
        </w:rPr>
        <w:fldChar w:fldCharType="end"/>
      </w:r>
    </w:p>
    <w:p w14:paraId="0D8641B4" w14:textId="77777777" w:rsidR="00734B41" w:rsidRDefault="00734B41" w:rsidP="00734B41">
      <w:pPr>
        <w:spacing w:before="0" w:after="0" w:line="288" w:lineRule="auto"/>
        <w:jc w:val="both"/>
        <w:rPr>
          <w:rFonts w:ascii="Arial" w:hAnsi="Arial" w:cs="Arial"/>
          <w:sz w:val="22"/>
          <w:szCs w:val="22"/>
        </w:rPr>
      </w:pPr>
    </w:p>
    <w:p w14:paraId="59274726" w14:textId="5E8ACA78" w:rsidR="00203C98" w:rsidRPr="00734B41" w:rsidRDefault="00203C98" w:rsidP="00734B41">
      <w:pPr>
        <w:spacing w:before="0" w:after="0" w:line="288" w:lineRule="auto"/>
        <w:jc w:val="both"/>
        <w:rPr>
          <w:rFonts w:ascii="Arial" w:hAnsi="Arial" w:cs="Arial"/>
          <w:sz w:val="22"/>
          <w:szCs w:val="22"/>
        </w:rPr>
      </w:pPr>
      <w:r w:rsidRPr="00734B41">
        <w:rPr>
          <w:rFonts w:ascii="Arial" w:hAnsi="Arial" w:cs="Arial"/>
          <w:sz w:val="22"/>
          <w:szCs w:val="22"/>
        </w:rPr>
        <w:t xml:space="preserve">All respondents completed the survey i.e., there was no drop-off mid-survey, and all chose to declare their role within PHF. </w:t>
      </w:r>
    </w:p>
    <w:p w14:paraId="15A2B10D" w14:textId="77777777" w:rsidR="00734B41" w:rsidRDefault="00734B41" w:rsidP="00734B41">
      <w:pPr>
        <w:spacing w:before="0" w:after="0" w:line="288" w:lineRule="auto"/>
        <w:rPr>
          <w:rFonts w:ascii="Arial" w:hAnsi="Arial" w:cs="Arial"/>
          <w:b/>
          <w:bCs/>
          <w:sz w:val="22"/>
          <w:szCs w:val="22"/>
        </w:rPr>
      </w:pPr>
    </w:p>
    <w:p w14:paraId="5180A989" w14:textId="72933D47" w:rsidR="00DE4598" w:rsidRPr="00676103" w:rsidRDefault="00DE4598" w:rsidP="00734B41">
      <w:pPr>
        <w:spacing w:before="0" w:after="0" w:line="288" w:lineRule="auto"/>
        <w:rPr>
          <w:rFonts w:ascii="Arial" w:hAnsi="Arial" w:cs="Arial"/>
          <w:b/>
          <w:bCs/>
          <w:color w:val="4D647C"/>
          <w:sz w:val="28"/>
          <w:szCs w:val="28"/>
        </w:rPr>
      </w:pPr>
      <w:r w:rsidRPr="00676103">
        <w:rPr>
          <w:rFonts w:ascii="Arial" w:hAnsi="Arial" w:cs="Arial"/>
          <w:b/>
          <w:bCs/>
          <w:color w:val="4D647C"/>
          <w:sz w:val="28"/>
          <w:szCs w:val="28"/>
        </w:rPr>
        <w:t>Methodology</w:t>
      </w:r>
    </w:p>
    <w:p w14:paraId="44AE3A9D" w14:textId="77777777" w:rsidR="00734B41" w:rsidRDefault="00734B41" w:rsidP="00D80EB4">
      <w:pPr>
        <w:spacing w:before="0" w:after="0" w:line="288" w:lineRule="auto"/>
        <w:rPr>
          <w:rFonts w:ascii="Arial" w:hAnsi="Arial" w:cs="Arial"/>
          <w:sz w:val="22"/>
          <w:szCs w:val="22"/>
        </w:rPr>
      </w:pPr>
    </w:p>
    <w:p w14:paraId="2B82833A" w14:textId="1D6EF4B3" w:rsidR="00DE4598" w:rsidRPr="00734B41" w:rsidRDefault="00DE4598" w:rsidP="00D80EB4">
      <w:pPr>
        <w:spacing w:before="0" w:after="0" w:line="288" w:lineRule="auto"/>
        <w:rPr>
          <w:rFonts w:ascii="Arial" w:hAnsi="Arial" w:cs="Arial"/>
          <w:sz w:val="22"/>
          <w:szCs w:val="22"/>
        </w:rPr>
      </w:pPr>
      <w:r w:rsidRPr="00734B41">
        <w:rPr>
          <w:rFonts w:ascii="Arial" w:hAnsi="Arial" w:cs="Arial"/>
          <w:sz w:val="22"/>
          <w:szCs w:val="22"/>
        </w:rPr>
        <w:t xml:space="preserve">The aim of the survey is to give us good insight into the demographics and characteristics represented to increase our understanding of diversity at PHF. We endeavour to share the results as clearly and transparently as possible, however, our priority is also to protect anonymity of those taking part and therefore there are some modifications in how and what data is presented. </w:t>
      </w:r>
    </w:p>
    <w:p w14:paraId="5921D70D" w14:textId="77777777" w:rsidR="00DE4598" w:rsidRPr="00734B41" w:rsidRDefault="00DE4598" w:rsidP="00D80EB4">
      <w:pPr>
        <w:spacing w:before="0" w:after="0" w:line="288" w:lineRule="auto"/>
        <w:rPr>
          <w:rFonts w:ascii="Arial" w:hAnsi="Arial" w:cs="Arial"/>
          <w:sz w:val="22"/>
          <w:szCs w:val="22"/>
        </w:rPr>
      </w:pPr>
    </w:p>
    <w:p w14:paraId="48F1086F" w14:textId="2E1105BE" w:rsidR="00DE4598" w:rsidRPr="00734B41" w:rsidRDefault="00DE4598" w:rsidP="00D80EB4">
      <w:pPr>
        <w:spacing w:before="0" w:after="0" w:line="288" w:lineRule="auto"/>
        <w:rPr>
          <w:rFonts w:ascii="Arial" w:hAnsi="Arial" w:cs="Arial"/>
          <w:sz w:val="22"/>
          <w:szCs w:val="22"/>
        </w:rPr>
      </w:pPr>
      <w:r w:rsidRPr="00734B41">
        <w:rPr>
          <w:rFonts w:ascii="Arial" w:hAnsi="Arial" w:cs="Arial"/>
          <w:sz w:val="22"/>
          <w:szCs w:val="22"/>
        </w:rPr>
        <w:t xml:space="preserve">Where there are small numbers of responses for some questions, reporting will be adapted to ensure no one can be identified inadvertently – for example, where there are fewer than four respondents answering in a particular way, results will be reported as “3 or fewer”.  In addition, it may be necessary to collapse categories within some questions to avoid identification, for instance within the ethnicity and age question. In some cases, it is also necessary to combine the trustee and advisor groups together in order to report any data. </w:t>
      </w:r>
    </w:p>
    <w:p w14:paraId="04FFCF7E" w14:textId="77777777" w:rsidR="00DE4598" w:rsidRPr="00734B41" w:rsidRDefault="00DE4598" w:rsidP="00D80EB4">
      <w:pPr>
        <w:spacing w:before="0" w:after="0" w:line="288" w:lineRule="auto"/>
        <w:rPr>
          <w:rFonts w:ascii="Arial" w:hAnsi="Arial" w:cs="Arial"/>
          <w:sz w:val="22"/>
          <w:szCs w:val="22"/>
        </w:rPr>
      </w:pPr>
    </w:p>
    <w:p w14:paraId="61DD6549" w14:textId="64C7CE9E" w:rsidR="00DE4598" w:rsidRPr="00734B41" w:rsidRDefault="00DE4598" w:rsidP="00D80EB4">
      <w:pPr>
        <w:spacing w:before="0" w:after="0" w:line="288" w:lineRule="auto"/>
        <w:rPr>
          <w:rFonts w:ascii="Arial" w:hAnsi="Arial" w:cs="Arial"/>
          <w:sz w:val="22"/>
          <w:szCs w:val="22"/>
        </w:rPr>
      </w:pPr>
      <w:r w:rsidRPr="00734B41">
        <w:rPr>
          <w:rFonts w:ascii="Arial" w:hAnsi="Arial" w:cs="Arial"/>
          <w:sz w:val="22"/>
          <w:szCs w:val="22"/>
        </w:rPr>
        <w:t xml:space="preserve">The results have been presented to provide as close a comparison to those of the 2021 survey. The majority of the questions remain unchanged which means this has been possible in most cases. The 2019 survey used slightly different questions so direct comparisons are more challenging, however the data is referenced where possible and where it is useful. </w:t>
      </w:r>
    </w:p>
    <w:p w14:paraId="604E7CEC" w14:textId="77777777" w:rsidR="00DE4598" w:rsidRPr="00734B41" w:rsidRDefault="00DE4598" w:rsidP="00734B41">
      <w:pPr>
        <w:spacing w:before="0" w:after="0" w:line="288" w:lineRule="auto"/>
        <w:jc w:val="both"/>
        <w:rPr>
          <w:rFonts w:ascii="Arial" w:hAnsi="Arial" w:cs="Arial"/>
          <w:sz w:val="22"/>
          <w:szCs w:val="22"/>
        </w:rPr>
      </w:pPr>
    </w:p>
    <w:p w14:paraId="7B2E2B3A" w14:textId="1EA03275" w:rsidR="00DE4598" w:rsidRPr="00734B41" w:rsidRDefault="00DE4598" w:rsidP="00FA0786">
      <w:pPr>
        <w:spacing w:before="0" w:after="0" w:line="288" w:lineRule="auto"/>
        <w:rPr>
          <w:rFonts w:ascii="Arial" w:hAnsi="Arial" w:cs="Arial"/>
          <w:sz w:val="22"/>
          <w:szCs w:val="22"/>
        </w:rPr>
      </w:pPr>
      <w:r w:rsidRPr="00734B41">
        <w:rPr>
          <w:rFonts w:ascii="Arial" w:hAnsi="Arial" w:cs="Arial"/>
          <w:sz w:val="22"/>
          <w:szCs w:val="22"/>
        </w:rPr>
        <w:t xml:space="preserve">Given the distinct nature of the roles of those taking part, employee, trustee and advisor, we recognise it is important to reflect this when presenting the results as much as possible. However due to small group sizes and response numbers, in the majority of cases the advisor group and the trustee group results have been combined in order for data to be shared. 2022 is the second year that advisors and trustees have been invited to take part in the survey meaning this is the first year that we are able to draw year on year comparisons for this group. </w:t>
      </w:r>
    </w:p>
    <w:p w14:paraId="5F23C2DE" w14:textId="77777777" w:rsidR="00734B41" w:rsidRDefault="00734B41" w:rsidP="00FA0786">
      <w:pPr>
        <w:spacing w:before="0" w:after="0" w:line="288" w:lineRule="auto"/>
        <w:rPr>
          <w:rFonts w:ascii="Arial" w:hAnsi="Arial" w:cs="Arial"/>
          <w:b/>
          <w:bCs/>
          <w:sz w:val="28"/>
          <w:szCs w:val="28"/>
        </w:rPr>
      </w:pPr>
    </w:p>
    <w:p w14:paraId="10560C6C" w14:textId="6EA58672" w:rsidR="000657B6" w:rsidRPr="00734B41" w:rsidRDefault="00FD3DDD" w:rsidP="00FA0786">
      <w:pPr>
        <w:spacing w:before="0" w:after="0" w:line="288" w:lineRule="auto"/>
        <w:rPr>
          <w:rFonts w:ascii="Arial" w:hAnsi="Arial" w:cs="Arial"/>
          <w:b/>
          <w:bCs/>
          <w:color w:val="4D647C"/>
          <w:sz w:val="28"/>
          <w:szCs w:val="28"/>
        </w:rPr>
      </w:pPr>
      <w:r w:rsidRPr="00734B41">
        <w:rPr>
          <w:rFonts w:ascii="Arial" w:hAnsi="Arial" w:cs="Arial"/>
          <w:b/>
          <w:bCs/>
          <w:color w:val="4D647C"/>
          <w:sz w:val="28"/>
          <w:szCs w:val="28"/>
        </w:rPr>
        <w:t>Results</w:t>
      </w:r>
    </w:p>
    <w:p w14:paraId="2A7986E5" w14:textId="77777777" w:rsidR="00734B41" w:rsidRPr="00734B41" w:rsidRDefault="00734B41" w:rsidP="00FA0786">
      <w:pPr>
        <w:spacing w:before="0" w:after="0" w:line="288" w:lineRule="auto"/>
        <w:rPr>
          <w:rFonts w:ascii="Arial" w:hAnsi="Arial" w:cs="Arial"/>
          <w:b/>
          <w:bCs/>
          <w:color w:val="4D647C"/>
          <w:sz w:val="22"/>
          <w:szCs w:val="22"/>
        </w:rPr>
      </w:pPr>
    </w:p>
    <w:p w14:paraId="03FF7B35" w14:textId="14CD06C1" w:rsidR="00734B41" w:rsidRPr="00734B41" w:rsidRDefault="00FD3DDD" w:rsidP="00FA0786">
      <w:pPr>
        <w:spacing w:before="0" w:after="0" w:line="288" w:lineRule="auto"/>
        <w:rPr>
          <w:rFonts w:ascii="Arial" w:hAnsi="Arial" w:cs="Arial"/>
          <w:noProof/>
          <w:color w:val="4D647C"/>
          <w:sz w:val="22"/>
          <w:szCs w:val="22"/>
        </w:rPr>
      </w:pPr>
      <w:r w:rsidRPr="00676103">
        <w:rPr>
          <w:rFonts w:ascii="Arial" w:hAnsi="Arial" w:cs="Arial"/>
          <w:b/>
          <w:bCs/>
          <w:color w:val="4D647C"/>
          <w:sz w:val="22"/>
          <w:szCs w:val="22"/>
        </w:rPr>
        <w:t>Sex ratio</w:t>
      </w:r>
    </w:p>
    <w:p w14:paraId="1F2849D4" w14:textId="4A382B3B" w:rsidR="00DE4598" w:rsidRPr="00734B41" w:rsidRDefault="00DE4598" w:rsidP="00FA0786">
      <w:pPr>
        <w:spacing w:before="0" w:after="0" w:line="288" w:lineRule="auto"/>
        <w:rPr>
          <w:rFonts w:ascii="Arial" w:hAnsi="Arial" w:cs="Arial"/>
          <w:noProof/>
          <w:sz w:val="22"/>
          <w:szCs w:val="22"/>
        </w:rPr>
      </w:pPr>
      <w:r w:rsidRPr="00734B41">
        <w:rPr>
          <w:rFonts w:ascii="Arial" w:hAnsi="Arial" w:cs="Arial"/>
          <w:noProof/>
          <w:sz w:val="22"/>
          <w:szCs w:val="22"/>
        </w:rPr>
        <w:t>The data for 2022 follows the trend set by previous surveys, with 74% of this year</w:t>
      </w:r>
      <w:r w:rsidR="00224DF1">
        <w:rPr>
          <w:rFonts w:ascii="Arial" w:hAnsi="Arial" w:cs="Arial"/>
          <w:noProof/>
          <w:sz w:val="22"/>
          <w:szCs w:val="22"/>
        </w:rPr>
        <w:t>’</w:t>
      </w:r>
      <w:r w:rsidRPr="00734B41">
        <w:rPr>
          <w:rFonts w:ascii="Arial" w:hAnsi="Arial" w:cs="Arial"/>
          <w:noProof/>
          <w:sz w:val="22"/>
          <w:szCs w:val="22"/>
        </w:rPr>
        <w:t xml:space="preserve">s respondents answering Female to the sex question. </w:t>
      </w:r>
    </w:p>
    <w:p w14:paraId="27D68763" w14:textId="77777777" w:rsidR="00DE4598" w:rsidRPr="00734B41" w:rsidRDefault="00DE4598" w:rsidP="00FA0786">
      <w:pPr>
        <w:spacing w:before="0" w:after="0" w:line="288" w:lineRule="auto"/>
        <w:rPr>
          <w:rFonts w:ascii="Arial" w:hAnsi="Arial" w:cs="Arial"/>
          <w:noProof/>
          <w:sz w:val="22"/>
          <w:szCs w:val="22"/>
        </w:rPr>
      </w:pPr>
    </w:p>
    <w:p w14:paraId="6C14AE97" w14:textId="77777777" w:rsidR="00DE4598" w:rsidRPr="00734B41" w:rsidRDefault="00DE4598" w:rsidP="00734B41">
      <w:pPr>
        <w:keepNext/>
        <w:spacing w:before="0" w:after="0" w:line="288" w:lineRule="auto"/>
        <w:jc w:val="center"/>
        <w:rPr>
          <w:rFonts w:ascii="Arial" w:hAnsi="Arial" w:cs="Arial"/>
          <w:sz w:val="22"/>
          <w:szCs w:val="22"/>
        </w:rPr>
      </w:pPr>
      <w:r w:rsidRPr="00734B41">
        <w:rPr>
          <w:rFonts w:ascii="Arial" w:hAnsi="Arial" w:cs="Arial"/>
          <w:noProof/>
          <w:sz w:val="22"/>
          <w:szCs w:val="22"/>
        </w:rPr>
        <w:drawing>
          <wp:inline distT="0" distB="0" distL="0" distR="0" wp14:anchorId="0657F1FD" wp14:editId="012B106D">
            <wp:extent cx="4320000" cy="2520000"/>
            <wp:effectExtent l="0" t="0" r="4445" b="13970"/>
            <wp:docPr id="15" name="Chart 15">
              <a:extLst xmlns:a="http://schemas.openxmlformats.org/drawingml/2006/main">
                <a:ext uri="{FF2B5EF4-FFF2-40B4-BE49-F238E27FC236}">
                  <a16:creationId xmlns:a16="http://schemas.microsoft.com/office/drawing/2014/main" id="{EFF51A84-DF0F-4783-AF28-5837AD79AF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7AB796" w14:textId="77777777" w:rsidR="00DE4598" w:rsidRPr="00734B41" w:rsidRDefault="00DE4598" w:rsidP="00734B41">
      <w:pPr>
        <w:pStyle w:val="Caption"/>
        <w:spacing w:before="0" w:after="0" w:line="288" w:lineRule="auto"/>
        <w:jc w:val="center"/>
        <w:rPr>
          <w:rFonts w:ascii="Arial" w:hAnsi="Arial" w:cs="Arial"/>
          <w:color w:val="4D647C"/>
          <w:sz w:val="22"/>
          <w:szCs w:val="22"/>
        </w:rPr>
      </w:pPr>
      <w:r w:rsidRPr="00734B41">
        <w:rPr>
          <w:rFonts w:ascii="Arial" w:hAnsi="Arial" w:cs="Arial"/>
          <w:color w:val="4D647C"/>
          <w:sz w:val="22"/>
          <w:szCs w:val="22"/>
        </w:rPr>
        <w:t xml:space="preserve">Chart </w:t>
      </w:r>
      <w:r w:rsidRPr="00734B41">
        <w:rPr>
          <w:rFonts w:ascii="Arial" w:hAnsi="Arial" w:cs="Arial"/>
          <w:color w:val="4D647C"/>
          <w:sz w:val="22"/>
          <w:szCs w:val="22"/>
        </w:rPr>
        <w:fldChar w:fldCharType="begin"/>
      </w:r>
      <w:r w:rsidRPr="00734B41">
        <w:rPr>
          <w:rFonts w:ascii="Arial" w:hAnsi="Arial" w:cs="Arial"/>
          <w:color w:val="4D647C"/>
          <w:sz w:val="22"/>
          <w:szCs w:val="22"/>
        </w:rPr>
        <w:instrText xml:space="preserve"> SEQ Chart \* ARABIC </w:instrText>
      </w:r>
      <w:r w:rsidRPr="00734B41">
        <w:rPr>
          <w:rFonts w:ascii="Arial" w:hAnsi="Arial" w:cs="Arial"/>
          <w:color w:val="4D647C"/>
          <w:sz w:val="22"/>
          <w:szCs w:val="22"/>
        </w:rPr>
        <w:fldChar w:fldCharType="separate"/>
      </w:r>
      <w:r w:rsidRPr="00734B41">
        <w:rPr>
          <w:rFonts w:ascii="Arial" w:hAnsi="Arial" w:cs="Arial"/>
          <w:noProof/>
          <w:color w:val="4D647C"/>
          <w:sz w:val="22"/>
          <w:szCs w:val="22"/>
        </w:rPr>
        <w:t>3</w:t>
      </w:r>
      <w:r w:rsidRPr="00734B41">
        <w:rPr>
          <w:rFonts w:ascii="Arial" w:hAnsi="Arial" w:cs="Arial"/>
          <w:noProof/>
          <w:color w:val="4D647C"/>
          <w:sz w:val="22"/>
          <w:szCs w:val="22"/>
        </w:rPr>
        <w:fldChar w:fldCharType="end"/>
      </w:r>
    </w:p>
    <w:p w14:paraId="7CDCD1B8" w14:textId="77777777" w:rsidR="00734B41" w:rsidRDefault="00734B41" w:rsidP="00D80EB4">
      <w:pPr>
        <w:spacing w:before="0" w:after="0" w:line="288" w:lineRule="auto"/>
        <w:rPr>
          <w:rFonts w:ascii="Arial" w:hAnsi="Arial" w:cs="Arial"/>
          <w:sz w:val="22"/>
          <w:szCs w:val="22"/>
        </w:rPr>
      </w:pPr>
    </w:p>
    <w:p w14:paraId="2EE1E284" w14:textId="361FCBDE" w:rsidR="00DE4598" w:rsidRPr="00734B41" w:rsidRDefault="00DE4598" w:rsidP="00D80EB4">
      <w:pPr>
        <w:spacing w:before="0" w:after="0" w:line="288" w:lineRule="auto"/>
        <w:rPr>
          <w:rFonts w:ascii="Arial" w:hAnsi="Arial" w:cs="Arial"/>
          <w:sz w:val="22"/>
          <w:szCs w:val="22"/>
        </w:rPr>
      </w:pPr>
      <w:r w:rsidRPr="00734B41">
        <w:rPr>
          <w:rFonts w:ascii="Arial" w:hAnsi="Arial" w:cs="Arial"/>
          <w:sz w:val="22"/>
          <w:szCs w:val="22"/>
        </w:rPr>
        <w:t>Due to small numbers of responses to some answer options for this question, the advisor and trustee groups have been combined. This was reported in the same format in 2021 and a comparison can be seen in chart 4 below. Note the reversed trend between 2021 and 2022, which could be attributed to the higher response rates of both the advisors and the trustees group.</w:t>
      </w:r>
    </w:p>
    <w:p w14:paraId="2ABBA085" w14:textId="77777777" w:rsidR="00DE4598" w:rsidRPr="00734B41" w:rsidRDefault="00DE4598" w:rsidP="00734B41">
      <w:pPr>
        <w:spacing w:before="0" w:after="0" w:line="288" w:lineRule="auto"/>
        <w:jc w:val="both"/>
        <w:rPr>
          <w:rFonts w:ascii="Arial" w:hAnsi="Arial" w:cs="Arial"/>
          <w:sz w:val="22"/>
          <w:szCs w:val="22"/>
        </w:rPr>
      </w:pPr>
    </w:p>
    <w:p w14:paraId="7B09DB7D" w14:textId="77777777" w:rsidR="00DE4598" w:rsidRPr="00734B41" w:rsidRDefault="00DE4598" w:rsidP="00734B41">
      <w:pPr>
        <w:keepNext/>
        <w:spacing w:before="0" w:after="0" w:line="288" w:lineRule="auto"/>
        <w:jc w:val="center"/>
        <w:rPr>
          <w:rFonts w:ascii="Arial" w:hAnsi="Arial" w:cs="Arial"/>
          <w:sz w:val="22"/>
          <w:szCs w:val="22"/>
        </w:rPr>
      </w:pPr>
      <w:r w:rsidRPr="00734B41">
        <w:rPr>
          <w:rFonts w:ascii="Arial" w:hAnsi="Arial" w:cs="Arial"/>
          <w:noProof/>
          <w:sz w:val="22"/>
          <w:szCs w:val="22"/>
        </w:rPr>
        <w:lastRenderedPageBreak/>
        <w:drawing>
          <wp:inline distT="0" distB="0" distL="0" distR="0" wp14:anchorId="36FF670D" wp14:editId="775336DD">
            <wp:extent cx="4320000" cy="2520000"/>
            <wp:effectExtent l="0" t="0" r="4445" b="13970"/>
            <wp:docPr id="16" name="Chart 16">
              <a:extLst xmlns:a="http://schemas.openxmlformats.org/drawingml/2006/main">
                <a:ext uri="{FF2B5EF4-FFF2-40B4-BE49-F238E27FC236}">
                  <a16:creationId xmlns:a16="http://schemas.microsoft.com/office/drawing/2014/main" id="{83803B54-9AF6-42BD-81C9-C1B417CD72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D2476E" w14:textId="564C3003" w:rsidR="00524806" w:rsidRPr="00734B41" w:rsidRDefault="00DE4598" w:rsidP="00734B41">
      <w:pPr>
        <w:pStyle w:val="Caption"/>
        <w:spacing w:before="0" w:after="0" w:line="288" w:lineRule="auto"/>
        <w:jc w:val="center"/>
        <w:rPr>
          <w:rFonts w:ascii="Arial" w:hAnsi="Arial" w:cs="Arial"/>
          <w:color w:val="4D647C"/>
          <w:sz w:val="22"/>
          <w:szCs w:val="22"/>
        </w:rPr>
      </w:pPr>
      <w:r w:rsidRPr="00734B41">
        <w:rPr>
          <w:rFonts w:ascii="Arial" w:hAnsi="Arial" w:cs="Arial"/>
          <w:color w:val="4D647C"/>
          <w:sz w:val="22"/>
          <w:szCs w:val="22"/>
        </w:rPr>
        <w:t xml:space="preserve">Chart </w:t>
      </w:r>
      <w:r w:rsidRPr="00734B41">
        <w:rPr>
          <w:rFonts w:ascii="Arial" w:hAnsi="Arial" w:cs="Arial"/>
          <w:color w:val="4D647C"/>
          <w:sz w:val="22"/>
          <w:szCs w:val="22"/>
        </w:rPr>
        <w:fldChar w:fldCharType="begin"/>
      </w:r>
      <w:r w:rsidRPr="00734B41">
        <w:rPr>
          <w:rFonts w:ascii="Arial" w:hAnsi="Arial" w:cs="Arial"/>
          <w:color w:val="4D647C"/>
          <w:sz w:val="22"/>
          <w:szCs w:val="22"/>
        </w:rPr>
        <w:instrText xml:space="preserve"> SEQ Chart \* ARABIC </w:instrText>
      </w:r>
      <w:r w:rsidRPr="00734B41">
        <w:rPr>
          <w:rFonts w:ascii="Arial" w:hAnsi="Arial" w:cs="Arial"/>
          <w:color w:val="4D647C"/>
          <w:sz w:val="22"/>
          <w:szCs w:val="22"/>
        </w:rPr>
        <w:fldChar w:fldCharType="separate"/>
      </w:r>
      <w:r w:rsidRPr="00734B41">
        <w:rPr>
          <w:rFonts w:ascii="Arial" w:hAnsi="Arial" w:cs="Arial"/>
          <w:noProof/>
          <w:color w:val="4D647C"/>
          <w:sz w:val="22"/>
          <w:szCs w:val="22"/>
        </w:rPr>
        <w:t>4</w:t>
      </w:r>
      <w:r w:rsidRPr="00734B41">
        <w:rPr>
          <w:rFonts w:ascii="Arial" w:hAnsi="Arial" w:cs="Arial"/>
          <w:noProof/>
          <w:color w:val="4D647C"/>
          <w:sz w:val="22"/>
          <w:szCs w:val="22"/>
        </w:rPr>
        <w:fldChar w:fldCharType="end"/>
      </w:r>
    </w:p>
    <w:p w14:paraId="2F2C03E0" w14:textId="1BD0CAF0" w:rsidR="003A4ECF" w:rsidRPr="00734B41" w:rsidRDefault="003A4ECF" w:rsidP="00734B41">
      <w:pPr>
        <w:spacing w:before="0" w:after="0" w:line="288" w:lineRule="auto"/>
        <w:jc w:val="center"/>
        <w:rPr>
          <w:rFonts w:ascii="Arial" w:hAnsi="Arial" w:cs="Arial"/>
          <w:sz w:val="22"/>
          <w:szCs w:val="22"/>
        </w:rPr>
      </w:pPr>
    </w:p>
    <w:p w14:paraId="10C38860" w14:textId="1A5A6536" w:rsidR="006B1791" w:rsidRPr="00676103" w:rsidRDefault="00F669B4" w:rsidP="00676103">
      <w:pPr>
        <w:spacing w:before="0" w:after="0" w:line="288" w:lineRule="auto"/>
        <w:rPr>
          <w:rFonts w:ascii="Arial" w:hAnsi="Arial" w:cs="Arial"/>
          <w:b/>
          <w:bCs/>
          <w:color w:val="4D647C"/>
          <w:sz w:val="22"/>
          <w:szCs w:val="22"/>
        </w:rPr>
      </w:pPr>
      <w:r w:rsidRPr="00676103">
        <w:rPr>
          <w:rFonts w:ascii="Arial" w:hAnsi="Arial" w:cs="Arial"/>
          <w:b/>
          <w:bCs/>
          <w:color w:val="4D647C"/>
          <w:sz w:val="22"/>
          <w:szCs w:val="22"/>
        </w:rPr>
        <w:t>Gender Identity</w:t>
      </w:r>
    </w:p>
    <w:p w14:paraId="2F505C04" w14:textId="4D49515F" w:rsidR="00DE4598" w:rsidRPr="00734B41" w:rsidRDefault="00DE4598" w:rsidP="00D80EB4">
      <w:pPr>
        <w:spacing w:before="0" w:after="0" w:line="288" w:lineRule="auto"/>
        <w:rPr>
          <w:rFonts w:ascii="Arial" w:hAnsi="Arial" w:cs="Arial"/>
          <w:sz w:val="22"/>
          <w:szCs w:val="22"/>
        </w:rPr>
      </w:pPr>
      <w:r w:rsidRPr="00734B41">
        <w:rPr>
          <w:rFonts w:ascii="Arial" w:hAnsi="Arial" w:cs="Arial"/>
          <w:sz w:val="22"/>
          <w:szCs w:val="22"/>
        </w:rPr>
        <w:t>We are unable to report on the results of the question on Gender Identity due to low response numbers to some answer options.</w:t>
      </w:r>
    </w:p>
    <w:p w14:paraId="0AC509EE" w14:textId="77777777" w:rsidR="006B1791" w:rsidRDefault="006B1791" w:rsidP="00D80EB4">
      <w:pPr>
        <w:spacing w:before="0" w:after="0" w:line="288" w:lineRule="auto"/>
        <w:rPr>
          <w:rFonts w:ascii="Arial" w:hAnsi="Arial" w:cs="Arial"/>
          <w:b/>
          <w:bCs/>
          <w:sz w:val="22"/>
          <w:szCs w:val="22"/>
        </w:rPr>
      </w:pPr>
    </w:p>
    <w:p w14:paraId="64E9D566" w14:textId="1888E4F8" w:rsidR="00676103" w:rsidRPr="00676103" w:rsidRDefault="00F669B4" w:rsidP="00D80EB4">
      <w:pPr>
        <w:spacing w:before="0" w:after="0" w:line="288" w:lineRule="auto"/>
        <w:rPr>
          <w:rFonts w:ascii="Arial" w:hAnsi="Arial" w:cs="Arial"/>
          <w:b/>
          <w:bCs/>
          <w:sz w:val="22"/>
          <w:szCs w:val="22"/>
        </w:rPr>
      </w:pPr>
      <w:r w:rsidRPr="00676103">
        <w:rPr>
          <w:rFonts w:ascii="Arial" w:hAnsi="Arial" w:cs="Arial"/>
          <w:b/>
          <w:bCs/>
          <w:color w:val="4D647C"/>
          <w:sz w:val="22"/>
          <w:szCs w:val="22"/>
        </w:rPr>
        <w:t>Age</w:t>
      </w:r>
    </w:p>
    <w:p w14:paraId="44E3248F" w14:textId="532B6870" w:rsidR="009A2431" w:rsidRDefault="009A2431" w:rsidP="00D80EB4">
      <w:pPr>
        <w:spacing w:before="0" w:after="0" w:line="288" w:lineRule="auto"/>
        <w:rPr>
          <w:rFonts w:ascii="Arial" w:hAnsi="Arial" w:cs="Arial"/>
          <w:sz w:val="22"/>
          <w:szCs w:val="22"/>
        </w:rPr>
      </w:pPr>
      <w:r w:rsidRPr="00734B41">
        <w:rPr>
          <w:rFonts w:ascii="Arial" w:hAnsi="Arial" w:cs="Arial"/>
          <w:sz w:val="22"/>
          <w:szCs w:val="22"/>
        </w:rPr>
        <w:t>The data from this year’s survey show all respondents to be from age 30 years and upwards. There were no responses in the age ranges 16-24 or 25-29. The distribution of responses allows for a slightly greater breakdown to be shown in comparison to previous years and Chart 5 represents the results from 2022 only.</w:t>
      </w:r>
    </w:p>
    <w:p w14:paraId="43526163" w14:textId="77777777" w:rsidR="00676103" w:rsidRDefault="00676103" w:rsidP="00734B41">
      <w:pPr>
        <w:spacing w:before="0" w:after="0" w:line="288" w:lineRule="auto"/>
        <w:jc w:val="both"/>
        <w:rPr>
          <w:rFonts w:ascii="Arial" w:hAnsi="Arial" w:cs="Arial"/>
          <w:sz w:val="22"/>
          <w:szCs w:val="22"/>
        </w:rPr>
      </w:pPr>
    </w:p>
    <w:p w14:paraId="50DDAE61" w14:textId="4DACA9A8" w:rsidR="006B1791" w:rsidRPr="00734B41" w:rsidRDefault="00676103" w:rsidP="00676103">
      <w:pPr>
        <w:spacing w:before="0" w:after="0" w:line="288" w:lineRule="auto"/>
        <w:jc w:val="center"/>
        <w:rPr>
          <w:rFonts w:ascii="Arial" w:hAnsi="Arial" w:cs="Arial"/>
          <w:sz w:val="22"/>
          <w:szCs w:val="22"/>
        </w:rPr>
      </w:pPr>
      <w:r w:rsidRPr="00734B41">
        <w:rPr>
          <w:rFonts w:ascii="Arial" w:hAnsi="Arial" w:cs="Arial"/>
          <w:noProof/>
          <w:sz w:val="22"/>
          <w:szCs w:val="22"/>
        </w:rPr>
        <w:drawing>
          <wp:inline distT="0" distB="0" distL="0" distR="0" wp14:anchorId="73F56CD7" wp14:editId="61CE5610">
            <wp:extent cx="4320000" cy="2520000"/>
            <wp:effectExtent l="0" t="0" r="4445" b="13970"/>
            <wp:docPr id="17" name="Chart 17">
              <a:extLst xmlns:a="http://schemas.openxmlformats.org/drawingml/2006/main">
                <a:ext uri="{FF2B5EF4-FFF2-40B4-BE49-F238E27FC236}">
                  <a16:creationId xmlns:a16="http://schemas.microsoft.com/office/drawing/2014/main" id="{7C4C1A42-FD00-45A1-88AE-E01C11431F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47B838" w14:textId="77777777" w:rsidR="009A2431" w:rsidRPr="00676103" w:rsidRDefault="009A2431" w:rsidP="00734B41">
      <w:pPr>
        <w:pStyle w:val="Caption"/>
        <w:spacing w:before="0" w:after="0" w:line="288" w:lineRule="auto"/>
        <w:jc w:val="center"/>
        <w:rPr>
          <w:rFonts w:ascii="Arial" w:hAnsi="Arial" w:cs="Arial"/>
          <w:color w:val="4D647C"/>
          <w:sz w:val="22"/>
          <w:szCs w:val="22"/>
        </w:rPr>
      </w:pPr>
      <w:r w:rsidRPr="00676103">
        <w:rPr>
          <w:rFonts w:ascii="Arial" w:hAnsi="Arial" w:cs="Arial"/>
          <w:color w:val="4D647C"/>
          <w:sz w:val="22"/>
          <w:szCs w:val="22"/>
        </w:rPr>
        <w:t xml:space="preserve">Chart </w:t>
      </w:r>
      <w:r w:rsidRPr="00676103">
        <w:rPr>
          <w:rFonts w:ascii="Arial" w:hAnsi="Arial" w:cs="Arial"/>
          <w:color w:val="4D647C"/>
          <w:sz w:val="22"/>
          <w:szCs w:val="22"/>
        </w:rPr>
        <w:fldChar w:fldCharType="begin"/>
      </w:r>
      <w:r w:rsidRPr="00676103">
        <w:rPr>
          <w:rFonts w:ascii="Arial" w:hAnsi="Arial" w:cs="Arial"/>
          <w:color w:val="4D647C"/>
          <w:sz w:val="22"/>
          <w:szCs w:val="22"/>
        </w:rPr>
        <w:instrText xml:space="preserve"> SEQ Chart \* ARABIC </w:instrText>
      </w:r>
      <w:r w:rsidRPr="00676103">
        <w:rPr>
          <w:rFonts w:ascii="Arial" w:hAnsi="Arial" w:cs="Arial"/>
          <w:color w:val="4D647C"/>
          <w:sz w:val="22"/>
          <w:szCs w:val="22"/>
        </w:rPr>
        <w:fldChar w:fldCharType="separate"/>
      </w:r>
      <w:r w:rsidRPr="00676103">
        <w:rPr>
          <w:rFonts w:ascii="Arial" w:hAnsi="Arial" w:cs="Arial"/>
          <w:noProof/>
          <w:color w:val="4D647C"/>
          <w:sz w:val="22"/>
          <w:szCs w:val="22"/>
        </w:rPr>
        <w:t>5</w:t>
      </w:r>
      <w:r w:rsidRPr="00676103">
        <w:rPr>
          <w:rFonts w:ascii="Arial" w:hAnsi="Arial" w:cs="Arial"/>
          <w:noProof/>
          <w:color w:val="4D647C"/>
          <w:sz w:val="22"/>
          <w:szCs w:val="22"/>
        </w:rPr>
        <w:fldChar w:fldCharType="end"/>
      </w:r>
    </w:p>
    <w:p w14:paraId="047302C8" w14:textId="77777777" w:rsidR="009A2431" w:rsidRPr="00734B41" w:rsidRDefault="009A2431" w:rsidP="00734B41">
      <w:pPr>
        <w:spacing w:before="0" w:after="0" w:line="288" w:lineRule="auto"/>
        <w:jc w:val="both"/>
        <w:rPr>
          <w:rFonts w:ascii="Arial" w:hAnsi="Arial" w:cs="Arial"/>
          <w:sz w:val="22"/>
          <w:szCs w:val="22"/>
        </w:rPr>
      </w:pPr>
    </w:p>
    <w:p w14:paraId="7E33F24B" w14:textId="77777777" w:rsidR="00224DF1" w:rsidRDefault="00224DF1" w:rsidP="00D80EB4">
      <w:pPr>
        <w:spacing w:before="0" w:after="0" w:line="288" w:lineRule="auto"/>
        <w:rPr>
          <w:rFonts w:ascii="Arial" w:hAnsi="Arial" w:cs="Arial"/>
          <w:sz w:val="22"/>
          <w:szCs w:val="22"/>
        </w:rPr>
      </w:pPr>
    </w:p>
    <w:p w14:paraId="4B3E5C3E" w14:textId="29E33503" w:rsidR="009A2431" w:rsidRDefault="009A2431" w:rsidP="00D80EB4">
      <w:pPr>
        <w:spacing w:before="0" w:after="0" w:line="288" w:lineRule="auto"/>
        <w:rPr>
          <w:rFonts w:ascii="Arial" w:hAnsi="Arial" w:cs="Arial"/>
          <w:sz w:val="22"/>
          <w:szCs w:val="22"/>
        </w:rPr>
      </w:pPr>
      <w:r w:rsidRPr="00734B41">
        <w:rPr>
          <w:rFonts w:ascii="Arial" w:hAnsi="Arial" w:cs="Arial"/>
          <w:sz w:val="22"/>
          <w:szCs w:val="22"/>
        </w:rPr>
        <w:lastRenderedPageBreak/>
        <w:t>Chart 6 compares the age distribution from 2019, 2021 and 2022</w:t>
      </w:r>
      <w:r w:rsidR="00224DF1">
        <w:rPr>
          <w:rFonts w:ascii="Arial" w:hAnsi="Arial" w:cs="Arial"/>
          <w:sz w:val="22"/>
          <w:szCs w:val="22"/>
        </w:rPr>
        <w:t>;</w:t>
      </w:r>
      <w:r w:rsidRPr="00734B41">
        <w:rPr>
          <w:rFonts w:ascii="Arial" w:hAnsi="Arial" w:cs="Arial"/>
          <w:sz w:val="22"/>
          <w:szCs w:val="22"/>
        </w:rPr>
        <w:t xml:space="preserve"> however some of the age range options from the 2022 data have been aggregated to allow for easier comparison. </w:t>
      </w:r>
    </w:p>
    <w:p w14:paraId="7AFF1E10" w14:textId="77777777" w:rsidR="006B1791" w:rsidRPr="00734B41" w:rsidRDefault="006B1791" w:rsidP="00734B41">
      <w:pPr>
        <w:spacing w:before="0" w:after="0" w:line="288" w:lineRule="auto"/>
        <w:jc w:val="both"/>
        <w:rPr>
          <w:rFonts w:ascii="Arial" w:hAnsi="Arial" w:cs="Arial"/>
          <w:sz w:val="22"/>
          <w:szCs w:val="22"/>
        </w:rPr>
      </w:pPr>
    </w:p>
    <w:p w14:paraId="32658918" w14:textId="77777777" w:rsidR="009A2431" w:rsidRPr="00734B41" w:rsidRDefault="009A2431" w:rsidP="00734B41">
      <w:pPr>
        <w:keepNext/>
        <w:spacing w:before="0" w:after="0" w:line="288" w:lineRule="auto"/>
        <w:jc w:val="center"/>
        <w:rPr>
          <w:rFonts w:ascii="Arial" w:hAnsi="Arial" w:cs="Arial"/>
          <w:sz w:val="22"/>
          <w:szCs w:val="22"/>
        </w:rPr>
      </w:pPr>
      <w:r w:rsidRPr="00734B41">
        <w:rPr>
          <w:rFonts w:ascii="Arial" w:hAnsi="Arial" w:cs="Arial"/>
          <w:noProof/>
          <w:sz w:val="22"/>
          <w:szCs w:val="22"/>
        </w:rPr>
        <w:drawing>
          <wp:inline distT="0" distB="0" distL="0" distR="0" wp14:anchorId="0017847A" wp14:editId="0D5AE1C8">
            <wp:extent cx="4320000" cy="2520000"/>
            <wp:effectExtent l="0" t="0" r="4445" b="13970"/>
            <wp:docPr id="18" name="Chart 18">
              <a:extLst xmlns:a="http://schemas.openxmlformats.org/drawingml/2006/main">
                <a:ext uri="{FF2B5EF4-FFF2-40B4-BE49-F238E27FC236}">
                  <a16:creationId xmlns:a16="http://schemas.microsoft.com/office/drawing/2014/main" id="{6359E9C3-65A8-4BE1-872C-3E2FA670B3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493E00" w14:textId="77777777" w:rsidR="009A2431" w:rsidRPr="00ED7407" w:rsidRDefault="009A2431" w:rsidP="00734B41">
      <w:pPr>
        <w:pStyle w:val="Caption"/>
        <w:spacing w:before="0" w:after="0" w:line="288" w:lineRule="auto"/>
        <w:jc w:val="center"/>
        <w:rPr>
          <w:rFonts w:ascii="Arial" w:hAnsi="Arial" w:cs="Arial"/>
          <w:color w:val="4D647C"/>
          <w:sz w:val="22"/>
          <w:szCs w:val="22"/>
        </w:rPr>
      </w:pPr>
      <w:r w:rsidRPr="00ED7407">
        <w:rPr>
          <w:rFonts w:ascii="Arial" w:hAnsi="Arial" w:cs="Arial"/>
          <w:color w:val="4D647C"/>
          <w:sz w:val="22"/>
          <w:szCs w:val="22"/>
        </w:rPr>
        <w:t xml:space="preserve">Chart </w:t>
      </w:r>
      <w:r w:rsidRPr="00ED7407">
        <w:rPr>
          <w:rFonts w:ascii="Arial" w:hAnsi="Arial" w:cs="Arial"/>
          <w:color w:val="4D647C"/>
          <w:sz w:val="22"/>
          <w:szCs w:val="22"/>
        </w:rPr>
        <w:fldChar w:fldCharType="begin"/>
      </w:r>
      <w:r w:rsidRPr="00ED7407">
        <w:rPr>
          <w:rFonts w:ascii="Arial" w:hAnsi="Arial" w:cs="Arial"/>
          <w:color w:val="4D647C"/>
          <w:sz w:val="22"/>
          <w:szCs w:val="22"/>
        </w:rPr>
        <w:instrText xml:space="preserve"> SEQ Chart \* ARABIC </w:instrText>
      </w:r>
      <w:r w:rsidRPr="00ED7407">
        <w:rPr>
          <w:rFonts w:ascii="Arial" w:hAnsi="Arial" w:cs="Arial"/>
          <w:color w:val="4D647C"/>
          <w:sz w:val="22"/>
          <w:szCs w:val="22"/>
        </w:rPr>
        <w:fldChar w:fldCharType="separate"/>
      </w:r>
      <w:r w:rsidRPr="00ED7407">
        <w:rPr>
          <w:rFonts w:ascii="Arial" w:hAnsi="Arial" w:cs="Arial"/>
          <w:noProof/>
          <w:color w:val="4D647C"/>
          <w:sz w:val="22"/>
          <w:szCs w:val="22"/>
        </w:rPr>
        <w:t>6</w:t>
      </w:r>
      <w:r w:rsidRPr="00ED7407">
        <w:rPr>
          <w:rFonts w:ascii="Arial" w:hAnsi="Arial" w:cs="Arial"/>
          <w:noProof/>
          <w:color w:val="4D647C"/>
          <w:sz w:val="22"/>
          <w:szCs w:val="22"/>
        </w:rPr>
        <w:fldChar w:fldCharType="end"/>
      </w:r>
    </w:p>
    <w:p w14:paraId="18E42A90" w14:textId="77777777" w:rsidR="00ED7407" w:rsidRDefault="00ED7407" w:rsidP="00734B41">
      <w:pPr>
        <w:spacing w:before="0" w:after="0" w:line="288" w:lineRule="auto"/>
        <w:jc w:val="both"/>
        <w:rPr>
          <w:rFonts w:ascii="Arial" w:hAnsi="Arial" w:cs="Arial"/>
          <w:sz w:val="22"/>
          <w:szCs w:val="22"/>
        </w:rPr>
      </w:pPr>
    </w:p>
    <w:p w14:paraId="20DC6F80" w14:textId="1CF88A43" w:rsidR="009A2431" w:rsidRDefault="009A2431" w:rsidP="00D80EB4">
      <w:pPr>
        <w:spacing w:before="0" w:after="0" w:line="288" w:lineRule="auto"/>
        <w:rPr>
          <w:rFonts w:ascii="Arial" w:hAnsi="Arial" w:cs="Arial"/>
          <w:sz w:val="22"/>
          <w:szCs w:val="22"/>
        </w:rPr>
      </w:pPr>
      <w:r w:rsidRPr="00734B41">
        <w:rPr>
          <w:rFonts w:ascii="Arial" w:hAnsi="Arial" w:cs="Arial"/>
          <w:sz w:val="22"/>
          <w:szCs w:val="22"/>
        </w:rPr>
        <w:t>The trustees and advisors are much smaller in number than employees, and in combination with survey uptake rates, it can be difficult to report on age distribution in detail. However, the trustee group responses ranged between 40 years and 65+, with 50% representing the 65+ category as shown below.</w:t>
      </w:r>
    </w:p>
    <w:p w14:paraId="05DCEA4F" w14:textId="77777777" w:rsidR="00676103" w:rsidRPr="00734B41" w:rsidRDefault="00676103" w:rsidP="00734B41">
      <w:pPr>
        <w:spacing w:before="0" w:after="0" w:line="288" w:lineRule="auto"/>
        <w:jc w:val="both"/>
        <w:rPr>
          <w:rFonts w:ascii="Arial" w:hAnsi="Arial" w:cs="Arial"/>
          <w:sz w:val="22"/>
          <w:szCs w:val="22"/>
        </w:rPr>
      </w:pPr>
    </w:p>
    <w:p w14:paraId="43AE51C0" w14:textId="77777777" w:rsidR="009A2431" w:rsidRPr="00734B41" w:rsidRDefault="009A2431" w:rsidP="00734B41">
      <w:pPr>
        <w:keepNext/>
        <w:spacing w:before="0" w:after="0" w:line="288" w:lineRule="auto"/>
        <w:jc w:val="center"/>
        <w:rPr>
          <w:rFonts w:ascii="Arial" w:hAnsi="Arial" w:cs="Arial"/>
          <w:sz w:val="22"/>
          <w:szCs w:val="22"/>
        </w:rPr>
      </w:pPr>
      <w:r w:rsidRPr="00734B41">
        <w:rPr>
          <w:rFonts w:ascii="Arial" w:hAnsi="Arial" w:cs="Arial"/>
          <w:noProof/>
          <w:sz w:val="22"/>
          <w:szCs w:val="22"/>
        </w:rPr>
        <w:drawing>
          <wp:inline distT="0" distB="0" distL="0" distR="0" wp14:anchorId="7899624A" wp14:editId="7E6A5AA2">
            <wp:extent cx="4320000" cy="2520000"/>
            <wp:effectExtent l="0" t="0" r="4445" b="13970"/>
            <wp:docPr id="19" name="Chart 19">
              <a:extLst xmlns:a="http://schemas.openxmlformats.org/drawingml/2006/main">
                <a:ext uri="{FF2B5EF4-FFF2-40B4-BE49-F238E27FC236}">
                  <a16:creationId xmlns:a16="http://schemas.microsoft.com/office/drawing/2014/main" id="{1BAD83C3-A5E5-4F58-91E3-A1794D254C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82FAD6" w14:textId="77777777" w:rsidR="009A2431" w:rsidRPr="00F42E71" w:rsidRDefault="009A2431" w:rsidP="00734B41">
      <w:pPr>
        <w:pStyle w:val="Caption"/>
        <w:spacing w:before="0" w:after="0" w:line="288" w:lineRule="auto"/>
        <w:jc w:val="center"/>
        <w:rPr>
          <w:rFonts w:ascii="Arial" w:hAnsi="Arial" w:cs="Arial"/>
          <w:color w:val="4D647C"/>
          <w:sz w:val="22"/>
          <w:szCs w:val="22"/>
        </w:rPr>
      </w:pPr>
      <w:r w:rsidRPr="00F42E71">
        <w:rPr>
          <w:rFonts w:ascii="Arial" w:hAnsi="Arial" w:cs="Arial"/>
          <w:color w:val="4D647C"/>
          <w:sz w:val="22"/>
          <w:szCs w:val="22"/>
        </w:rPr>
        <w:t xml:space="preserve">Chart </w:t>
      </w:r>
      <w:r w:rsidRPr="00F42E71">
        <w:rPr>
          <w:rFonts w:ascii="Arial" w:hAnsi="Arial" w:cs="Arial"/>
          <w:color w:val="4D647C"/>
          <w:sz w:val="22"/>
          <w:szCs w:val="22"/>
        </w:rPr>
        <w:fldChar w:fldCharType="begin"/>
      </w:r>
      <w:r w:rsidRPr="00F42E71">
        <w:rPr>
          <w:rFonts w:ascii="Arial" w:hAnsi="Arial" w:cs="Arial"/>
          <w:color w:val="4D647C"/>
          <w:sz w:val="22"/>
          <w:szCs w:val="22"/>
        </w:rPr>
        <w:instrText xml:space="preserve"> SEQ Chart \* ARABIC </w:instrText>
      </w:r>
      <w:r w:rsidRPr="00F42E71">
        <w:rPr>
          <w:rFonts w:ascii="Arial" w:hAnsi="Arial" w:cs="Arial"/>
          <w:color w:val="4D647C"/>
          <w:sz w:val="22"/>
          <w:szCs w:val="22"/>
        </w:rPr>
        <w:fldChar w:fldCharType="separate"/>
      </w:r>
      <w:r w:rsidRPr="00F42E71">
        <w:rPr>
          <w:rFonts w:ascii="Arial" w:hAnsi="Arial" w:cs="Arial"/>
          <w:noProof/>
          <w:color w:val="4D647C"/>
          <w:sz w:val="22"/>
          <w:szCs w:val="22"/>
        </w:rPr>
        <w:t>7</w:t>
      </w:r>
      <w:r w:rsidRPr="00F42E71">
        <w:rPr>
          <w:rFonts w:ascii="Arial" w:hAnsi="Arial" w:cs="Arial"/>
          <w:noProof/>
          <w:color w:val="4D647C"/>
          <w:sz w:val="22"/>
          <w:szCs w:val="22"/>
        </w:rPr>
        <w:fldChar w:fldCharType="end"/>
      </w:r>
    </w:p>
    <w:p w14:paraId="68DD8D2D" w14:textId="77777777" w:rsidR="009A2431" w:rsidRPr="00734B41" w:rsidRDefault="009A2431" w:rsidP="00734B41">
      <w:pPr>
        <w:spacing w:before="0" w:after="0" w:line="288" w:lineRule="auto"/>
        <w:jc w:val="both"/>
        <w:rPr>
          <w:rFonts w:ascii="Arial" w:hAnsi="Arial" w:cs="Arial"/>
          <w:sz w:val="22"/>
          <w:szCs w:val="22"/>
        </w:rPr>
      </w:pPr>
    </w:p>
    <w:p w14:paraId="167DE259" w14:textId="7B16FE07" w:rsidR="009A2431" w:rsidRDefault="009A2431" w:rsidP="00D80EB4">
      <w:pPr>
        <w:spacing w:before="0" w:after="0" w:line="288" w:lineRule="auto"/>
        <w:rPr>
          <w:rFonts w:ascii="Arial" w:hAnsi="Arial" w:cs="Arial"/>
          <w:sz w:val="22"/>
          <w:szCs w:val="22"/>
        </w:rPr>
      </w:pPr>
      <w:r w:rsidRPr="00734B41">
        <w:rPr>
          <w:rFonts w:ascii="Arial" w:hAnsi="Arial" w:cs="Arial"/>
          <w:sz w:val="22"/>
          <w:szCs w:val="22"/>
        </w:rPr>
        <w:t xml:space="preserve">The advisor group shows a greater distribution of ages than the trustee group, overall ranging from 35 to 65+, however the detail of the results can’t be shown in more detail for anonymity reasons. </w:t>
      </w:r>
    </w:p>
    <w:p w14:paraId="3C1C5E0F" w14:textId="77777777" w:rsidR="00F42E71" w:rsidRPr="00734B41" w:rsidRDefault="00F42E71" w:rsidP="00D80EB4">
      <w:pPr>
        <w:spacing w:before="0" w:after="0" w:line="288" w:lineRule="auto"/>
        <w:rPr>
          <w:rFonts w:ascii="Arial" w:hAnsi="Arial" w:cs="Arial"/>
          <w:sz w:val="22"/>
          <w:szCs w:val="22"/>
        </w:rPr>
      </w:pPr>
    </w:p>
    <w:p w14:paraId="7661327E" w14:textId="4466A18D" w:rsidR="009A2431" w:rsidRDefault="009A2431" w:rsidP="00D80EB4">
      <w:pPr>
        <w:spacing w:before="0" w:after="0" w:line="288" w:lineRule="auto"/>
        <w:rPr>
          <w:rFonts w:ascii="Arial" w:hAnsi="Arial" w:cs="Arial"/>
          <w:sz w:val="22"/>
          <w:szCs w:val="22"/>
        </w:rPr>
      </w:pPr>
      <w:r w:rsidRPr="00734B41">
        <w:rPr>
          <w:rFonts w:ascii="Arial" w:hAnsi="Arial" w:cs="Arial"/>
          <w:sz w:val="22"/>
          <w:szCs w:val="22"/>
        </w:rPr>
        <w:lastRenderedPageBreak/>
        <w:t>However, the data does allow for a combined trustee and advisor group comparison to 2021 results and has been aggregated accordingly for easier comparison.</w:t>
      </w:r>
    </w:p>
    <w:p w14:paraId="139CA29C" w14:textId="77777777" w:rsidR="00F42E71" w:rsidRPr="00734B41" w:rsidRDefault="00F42E71" w:rsidP="00734B41">
      <w:pPr>
        <w:spacing w:before="0" w:after="0" w:line="288" w:lineRule="auto"/>
        <w:jc w:val="both"/>
        <w:rPr>
          <w:rFonts w:ascii="Arial" w:hAnsi="Arial" w:cs="Arial"/>
          <w:sz w:val="22"/>
          <w:szCs w:val="22"/>
        </w:rPr>
      </w:pPr>
    </w:p>
    <w:p w14:paraId="09DAF487" w14:textId="77777777" w:rsidR="009A2431" w:rsidRPr="00734B41" w:rsidRDefault="009A2431" w:rsidP="00734B41">
      <w:pPr>
        <w:keepNext/>
        <w:spacing w:before="0" w:after="0" w:line="288" w:lineRule="auto"/>
        <w:jc w:val="center"/>
        <w:rPr>
          <w:rFonts w:ascii="Arial" w:hAnsi="Arial" w:cs="Arial"/>
          <w:sz w:val="22"/>
          <w:szCs w:val="22"/>
        </w:rPr>
      </w:pPr>
      <w:r w:rsidRPr="00734B41">
        <w:rPr>
          <w:rFonts w:ascii="Arial" w:hAnsi="Arial" w:cs="Arial"/>
          <w:noProof/>
          <w:sz w:val="22"/>
          <w:szCs w:val="22"/>
        </w:rPr>
        <w:drawing>
          <wp:inline distT="0" distB="0" distL="0" distR="0" wp14:anchorId="11759127" wp14:editId="0F8711D7">
            <wp:extent cx="4320000" cy="2520000"/>
            <wp:effectExtent l="0" t="0" r="4445" b="13970"/>
            <wp:docPr id="20" name="Chart 20">
              <a:extLst xmlns:a="http://schemas.openxmlformats.org/drawingml/2006/main">
                <a:ext uri="{FF2B5EF4-FFF2-40B4-BE49-F238E27FC236}">
                  <a16:creationId xmlns:a16="http://schemas.microsoft.com/office/drawing/2014/main" id="{307FCD6F-435A-5CE7-C251-02674B0414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B37AE6" w14:textId="612B592A" w:rsidR="0000029E" w:rsidRPr="00676103" w:rsidRDefault="009A2431" w:rsidP="00676103">
      <w:pPr>
        <w:pStyle w:val="Caption"/>
        <w:spacing w:before="0" w:after="0" w:line="288" w:lineRule="auto"/>
        <w:jc w:val="center"/>
        <w:rPr>
          <w:rStyle w:val="IntenseEmphasis"/>
          <w:rFonts w:ascii="Arial" w:hAnsi="Arial" w:cs="Arial"/>
          <w:b/>
          <w:bCs/>
          <w:caps w:val="0"/>
          <w:color w:val="4D647C"/>
          <w:spacing w:val="0"/>
          <w:sz w:val="22"/>
          <w:szCs w:val="22"/>
        </w:rPr>
      </w:pPr>
      <w:r w:rsidRPr="0000029E">
        <w:rPr>
          <w:rFonts w:ascii="Arial" w:hAnsi="Arial" w:cs="Arial"/>
          <w:color w:val="4D647C"/>
          <w:sz w:val="22"/>
          <w:szCs w:val="22"/>
        </w:rPr>
        <w:t xml:space="preserve">Chart </w:t>
      </w:r>
      <w:r w:rsidRPr="0000029E">
        <w:rPr>
          <w:rFonts w:ascii="Arial" w:hAnsi="Arial" w:cs="Arial"/>
          <w:color w:val="4D647C"/>
          <w:sz w:val="22"/>
          <w:szCs w:val="22"/>
        </w:rPr>
        <w:fldChar w:fldCharType="begin"/>
      </w:r>
      <w:r w:rsidRPr="0000029E">
        <w:rPr>
          <w:rFonts w:ascii="Arial" w:hAnsi="Arial" w:cs="Arial"/>
          <w:color w:val="4D647C"/>
          <w:sz w:val="22"/>
          <w:szCs w:val="22"/>
        </w:rPr>
        <w:instrText xml:space="preserve"> SEQ Chart \* ARABIC </w:instrText>
      </w:r>
      <w:r w:rsidRPr="0000029E">
        <w:rPr>
          <w:rFonts w:ascii="Arial" w:hAnsi="Arial" w:cs="Arial"/>
          <w:color w:val="4D647C"/>
          <w:sz w:val="22"/>
          <w:szCs w:val="22"/>
        </w:rPr>
        <w:fldChar w:fldCharType="separate"/>
      </w:r>
      <w:r w:rsidRPr="0000029E">
        <w:rPr>
          <w:rFonts w:ascii="Arial" w:hAnsi="Arial" w:cs="Arial"/>
          <w:noProof/>
          <w:color w:val="4D647C"/>
          <w:sz w:val="22"/>
          <w:szCs w:val="22"/>
        </w:rPr>
        <w:t>8</w:t>
      </w:r>
      <w:r w:rsidRPr="0000029E">
        <w:rPr>
          <w:rFonts w:ascii="Arial" w:hAnsi="Arial" w:cs="Arial"/>
          <w:noProof/>
          <w:color w:val="4D647C"/>
          <w:sz w:val="22"/>
          <w:szCs w:val="22"/>
        </w:rPr>
        <w:fldChar w:fldCharType="end"/>
      </w:r>
    </w:p>
    <w:p w14:paraId="6A132519" w14:textId="56C4C32D" w:rsidR="0000029E" w:rsidRDefault="00D26BD3" w:rsidP="00D80EB4">
      <w:pPr>
        <w:spacing w:before="0" w:after="0" w:line="288" w:lineRule="auto"/>
        <w:rPr>
          <w:rFonts w:ascii="Arial" w:hAnsi="Arial" w:cs="Arial"/>
          <w:sz w:val="22"/>
          <w:szCs w:val="22"/>
        </w:rPr>
      </w:pPr>
      <w:r w:rsidRPr="00734B41">
        <w:rPr>
          <w:rFonts w:ascii="Arial" w:hAnsi="Arial" w:cs="Arial"/>
          <w:sz w:val="22"/>
          <w:szCs w:val="22"/>
        </w:rPr>
        <w:br/>
      </w:r>
      <w:r w:rsidR="00FA6871" w:rsidRPr="00676103">
        <w:rPr>
          <w:rFonts w:ascii="Arial" w:hAnsi="Arial" w:cs="Arial"/>
          <w:b/>
          <w:bCs/>
          <w:color w:val="4D647C"/>
          <w:sz w:val="22"/>
          <w:szCs w:val="22"/>
        </w:rPr>
        <w:t>Ethnicity</w:t>
      </w:r>
      <w:r w:rsidR="009263FF" w:rsidRPr="00676103">
        <w:rPr>
          <w:rFonts w:ascii="Arial" w:hAnsi="Arial" w:cs="Arial"/>
          <w:color w:val="4D647C"/>
          <w:sz w:val="22"/>
          <w:szCs w:val="22"/>
        </w:rPr>
        <w:t xml:space="preserve"> </w:t>
      </w:r>
    </w:p>
    <w:p w14:paraId="1C1BE01E" w14:textId="5D557CB3" w:rsidR="00A34A08" w:rsidRDefault="00A34A08" w:rsidP="00D80EB4">
      <w:pPr>
        <w:spacing w:before="0" w:after="0" w:line="288" w:lineRule="auto"/>
        <w:rPr>
          <w:rFonts w:ascii="Arial" w:hAnsi="Arial" w:cs="Arial"/>
          <w:sz w:val="22"/>
          <w:szCs w:val="22"/>
        </w:rPr>
      </w:pPr>
      <w:r w:rsidRPr="00734B41">
        <w:rPr>
          <w:rFonts w:ascii="Arial" w:hAnsi="Arial" w:cs="Arial"/>
          <w:sz w:val="22"/>
          <w:szCs w:val="22"/>
        </w:rPr>
        <w:t xml:space="preserve">The survey followed the format set in 2021 and asked two questions on ethnicity, a main and a sub-group question. The answer options were based on the 2021 Census. As was the case in 2021, several answer options for the sub-group and the main question had three or fewer responses and once again, to maintain anonymity, the data from some answer options has been combined. However, we can say that the data this year has allowed for slightly further breakdown than was seen in 2021. </w:t>
      </w:r>
    </w:p>
    <w:p w14:paraId="310F1952" w14:textId="77777777" w:rsidR="00FA0786" w:rsidRDefault="00FA0786" w:rsidP="00D80EB4">
      <w:pPr>
        <w:spacing w:before="0" w:after="0" w:line="288" w:lineRule="auto"/>
        <w:rPr>
          <w:rFonts w:ascii="Arial" w:hAnsi="Arial" w:cs="Arial"/>
          <w:sz w:val="22"/>
          <w:szCs w:val="22"/>
        </w:rPr>
      </w:pPr>
    </w:p>
    <w:p w14:paraId="19CF5D18" w14:textId="77777777" w:rsidR="00FA0786" w:rsidRPr="00734B41" w:rsidRDefault="00FA0786" w:rsidP="00D80EB4">
      <w:pPr>
        <w:spacing w:before="0" w:after="0" w:line="288" w:lineRule="auto"/>
        <w:rPr>
          <w:rFonts w:ascii="Arial" w:hAnsi="Arial" w:cs="Arial"/>
          <w:sz w:val="22"/>
          <w:szCs w:val="22"/>
        </w:rPr>
      </w:pPr>
      <w:r w:rsidRPr="00734B41">
        <w:rPr>
          <w:rFonts w:ascii="Arial" w:hAnsi="Arial" w:cs="Arial"/>
          <w:sz w:val="22"/>
          <w:szCs w:val="22"/>
        </w:rPr>
        <w:t xml:space="preserve">Chart 9 shows the Ethnicity within the employee group for 2022. This year it was possible to separate the Black, Black British, Caribbean or African group compared to 2021, when this data was aggregated with another smaller response group for reporting. </w:t>
      </w:r>
    </w:p>
    <w:p w14:paraId="15A95E67" w14:textId="3DEDF6D0" w:rsidR="00A34A08" w:rsidRPr="00734B41" w:rsidRDefault="00A34A08" w:rsidP="00734B41">
      <w:pPr>
        <w:spacing w:before="0" w:after="0" w:line="288" w:lineRule="auto"/>
        <w:jc w:val="both"/>
        <w:rPr>
          <w:rFonts w:ascii="Arial" w:hAnsi="Arial" w:cs="Arial"/>
          <w:sz w:val="22"/>
          <w:szCs w:val="22"/>
        </w:rPr>
      </w:pPr>
    </w:p>
    <w:p w14:paraId="1D975F73" w14:textId="77777777" w:rsidR="00A34A08" w:rsidRPr="00734B41" w:rsidRDefault="00A34A08" w:rsidP="00734B41">
      <w:pPr>
        <w:keepNext/>
        <w:spacing w:before="0" w:after="0" w:line="288" w:lineRule="auto"/>
        <w:jc w:val="center"/>
        <w:rPr>
          <w:rFonts w:ascii="Arial" w:hAnsi="Arial" w:cs="Arial"/>
          <w:sz w:val="22"/>
          <w:szCs w:val="22"/>
        </w:rPr>
      </w:pPr>
      <w:r w:rsidRPr="00676103">
        <w:rPr>
          <w:rFonts w:ascii="Arial" w:hAnsi="Arial" w:cs="Arial"/>
          <w:noProof/>
        </w:rPr>
        <w:lastRenderedPageBreak/>
        <w:drawing>
          <wp:inline distT="0" distB="0" distL="0" distR="0" wp14:anchorId="22838F2C" wp14:editId="698F22F1">
            <wp:extent cx="4320000" cy="2520000"/>
            <wp:effectExtent l="0" t="0" r="4445" b="13970"/>
            <wp:docPr id="21" name="Chart 21">
              <a:extLst xmlns:a="http://schemas.openxmlformats.org/drawingml/2006/main">
                <a:ext uri="{FF2B5EF4-FFF2-40B4-BE49-F238E27FC236}">
                  <a16:creationId xmlns:a16="http://schemas.microsoft.com/office/drawing/2014/main" id="{18DCB616-7FDA-40F4-9B7C-82CA8A837B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33583EF" w14:textId="77777777" w:rsidR="00A34A08" w:rsidRPr="00676103" w:rsidRDefault="00A34A08" w:rsidP="00734B41">
      <w:pPr>
        <w:pStyle w:val="Caption"/>
        <w:spacing w:before="0" w:after="0" w:line="288" w:lineRule="auto"/>
        <w:jc w:val="center"/>
        <w:rPr>
          <w:rFonts w:ascii="Arial" w:hAnsi="Arial" w:cs="Arial"/>
          <w:color w:val="4D647C"/>
          <w:sz w:val="22"/>
          <w:szCs w:val="22"/>
        </w:rPr>
      </w:pPr>
      <w:r w:rsidRPr="00676103">
        <w:rPr>
          <w:rFonts w:ascii="Arial" w:hAnsi="Arial" w:cs="Arial"/>
          <w:color w:val="4D647C"/>
          <w:sz w:val="22"/>
          <w:szCs w:val="22"/>
        </w:rPr>
        <w:t xml:space="preserve">Chart </w:t>
      </w:r>
      <w:r w:rsidRPr="00676103">
        <w:rPr>
          <w:rFonts w:ascii="Arial" w:hAnsi="Arial" w:cs="Arial"/>
          <w:color w:val="4D647C"/>
          <w:sz w:val="22"/>
          <w:szCs w:val="22"/>
        </w:rPr>
        <w:fldChar w:fldCharType="begin"/>
      </w:r>
      <w:r w:rsidRPr="00676103">
        <w:rPr>
          <w:rFonts w:ascii="Arial" w:hAnsi="Arial" w:cs="Arial"/>
          <w:color w:val="4D647C"/>
          <w:sz w:val="22"/>
          <w:szCs w:val="22"/>
        </w:rPr>
        <w:instrText xml:space="preserve"> SEQ Chart \* ARABIC </w:instrText>
      </w:r>
      <w:r w:rsidRPr="00676103">
        <w:rPr>
          <w:rFonts w:ascii="Arial" w:hAnsi="Arial" w:cs="Arial"/>
          <w:color w:val="4D647C"/>
          <w:sz w:val="22"/>
          <w:szCs w:val="22"/>
        </w:rPr>
        <w:fldChar w:fldCharType="separate"/>
      </w:r>
      <w:r w:rsidRPr="00676103">
        <w:rPr>
          <w:rFonts w:ascii="Arial" w:hAnsi="Arial" w:cs="Arial"/>
          <w:noProof/>
          <w:color w:val="4D647C"/>
          <w:sz w:val="22"/>
          <w:szCs w:val="22"/>
        </w:rPr>
        <w:t>9</w:t>
      </w:r>
      <w:r w:rsidRPr="00676103">
        <w:rPr>
          <w:rFonts w:ascii="Arial" w:hAnsi="Arial" w:cs="Arial"/>
          <w:noProof/>
          <w:color w:val="4D647C"/>
          <w:sz w:val="22"/>
          <w:szCs w:val="22"/>
        </w:rPr>
        <w:fldChar w:fldCharType="end"/>
      </w:r>
    </w:p>
    <w:p w14:paraId="47135AC4" w14:textId="2D1BA1A3" w:rsidR="00A34A08" w:rsidRPr="003A3D10" w:rsidRDefault="00A34A08" w:rsidP="00D80EB4">
      <w:pPr>
        <w:spacing w:before="0" w:after="0" w:line="288" w:lineRule="auto"/>
        <w:rPr>
          <w:rFonts w:ascii="Arial" w:hAnsi="Arial" w:cs="Arial"/>
        </w:rPr>
      </w:pPr>
      <w:r w:rsidRPr="003A3D10">
        <w:rPr>
          <w:rFonts w:ascii="Arial" w:hAnsi="Arial" w:cs="Arial"/>
        </w:rPr>
        <w:t>*The expanded list of diversity in this group is Asian or Asian British, Chinese, Indian, Pakistani or Other; and Mixed or Multiple Ethnic groups, White &amp; Asian and White &amp; Black African; and Other Ethnic groups</w:t>
      </w:r>
      <w:r w:rsidR="003A3D10">
        <w:rPr>
          <w:rFonts w:ascii="Arial" w:hAnsi="Arial" w:cs="Arial"/>
        </w:rPr>
        <w:t>.</w:t>
      </w:r>
    </w:p>
    <w:p w14:paraId="5A37B34B" w14:textId="77777777" w:rsidR="00676103" w:rsidRPr="00734B41" w:rsidRDefault="00676103" w:rsidP="00D80EB4">
      <w:pPr>
        <w:spacing w:before="0" w:after="0" w:line="288" w:lineRule="auto"/>
        <w:rPr>
          <w:rFonts w:ascii="Arial" w:hAnsi="Arial" w:cs="Arial"/>
          <w:sz w:val="22"/>
          <w:szCs w:val="22"/>
        </w:rPr>
      </w:pPr>
    </w:p>
    <w:p w14:paraId="79682EB8" w14:textId="0A9CCD74" w:rsidR="00A34A08" w:rsidRPr="00734B41" w:rsidRDefault="00A34A08" w:rsidP="000D034F">
      <w:pPr>
        <w:spacing w:before="0" w:after="0" w:line="288" w:lineRule="auto"/>
        <w:rPr>
          <w:rFonts w:ascii="Arial" w:hAnsi="Arial" w:cs="Arial"/>
          <w:sz w:val="22"/>
          <w:szCs w:val="22"/>
        </w:rPr>
      </w:pPr>
      <w:r w:rsidRPr="00734B41">
        <w:rPr>
          <w:rFonts w:ascii="Arial" w:hAnsi="Arial" w:cs="Arial"/>
          <w:sz w:val="22"/>
          <w:szCs w:val="22"/>
        </w:rPr>
        <w:t>For the purpose of comparison, we have combined the data in a much broader way in chart 10. Whilst this does not recognise the distinction between groups, it can be used to see a decreasing trend in the representation of white employees in comparison to those of non-white background.</w:t>
      </w:r>
    </w:p>
    <w:p w14:paraId="2CD547D9" w14:textId="77777777" w:rsidR="00A34A08" w:rsidRPr="00734B41" w:rsidRDefault="00A34A08" w:rsidP="00734B41">
      <w:pPr>
        <w:keepNext/>
        <w:spacing w:before="0" w:after="0" w:line="288" w:lineRule="auto"/>
        <w:jc w:val="center"/>
        <w:rPr>
          <w:rFonts w:ascii="Arial" w:hAnsi="Arial" w:cs="Arial"/>
          <w:sz w:val="22"/>
          <w:szCs w:val="22"/>
        </w:rPr>
      </w:pPr>
      <w:r w:rsidRPr="00734B41">
        <w:rPr>
          <w:rFonts w:ascii="Arial" w:hAnsi="Arial" w:cs="Arial"/>
          <w:noProof/>
          <w:sz w:val="22"/>
          <w:szCs w:val="22"/>
        </w:rPr>
        <w:drawing>
          <wp:inline distT="0" distB="0" distL="0" distR="0" wp14:anchorId="3B688C49" wp14:editId="7367A0C2">
            <wp:extent cx="4320000" cy="2520000"/>
            <wp:effectExtent l="0" t="0" r="4445" b="13970"/>
            <wp:docPr id="22" name="Chart 22">
              <a:extLst xmlns:a="http://schemas.openxmlformats.org/drawingml/2006/main">
                <a:ext uri="{FF2B5EF4-FFF2-40B4-BE49-F238E27FC236}">
                  <a16:creationId xmlns:a16="http://schemas.microsoft.com/office/drawing/2014/main" id="{B61349AA-087D-4A8E-B97D-FA44B3C10E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D32252E" w14:textId="77777777" w:rsidR="00A34A08" w:rsidRPr="00ED35AC" w:rsidRDefault="00A34A08" w:rsidP="00734B41">
      <w:pPr>
        <w:pStyle w:val="Caption"/>
        <w:spacing w:before="0" w:after="0" w:line="288" w:lineRule="auto"/>
        <w:jc w:val="center"/>
        <w:rPr>
          <w:rFonts w:ascii="Arial" w:hAnsi="Arial" w:cs="Arial"/>
          <w:color w:val="4D647C"/>
          <w:sz w:val="22"/>
          <w:szCs w:val="22"/>
        </w:rPr>
      </w:pPr>
      <w:r w:rsidRPr="00ED35AC">
        <w:rPr>
          <w:rFonts w:ascii="Arial" w:hAnsi="Arial" w:cs="Arial"/>
          <w:color w:val="4D647C"/>
          <w:sz w:val="22"/>
          <w:szCs w:val="22"/>
        </w:rPr>
        <w:t xml:space="preserve">Chart </w:t>
      </w:r>
      <w:r w:rsidRPr="00ED35AC">
        <w:rPr>
          <w:rFonts w:ascii="Arial" w:hAnsi="Arial" w:cs="Arial"/>
          <w:color w:val="4D647C"/>
          <w:sz w:val="22"/>
          <w:szCs w:val="22"/>
        </w:rPr>
        <w:fldChar w:fldCharType="begin"/>
      </w:r>
      <w:r w:rsidRPr="00ED35AC">
        <w:rPr>
          <w:rFonts w:ascii="Arial" w:hAnsi="Arial" w:cs="Arial"/>
          <w:color w:val="4D647C"/>
          <w:sz w:val="22"/>
          <w:szCs w:val="22"/>
        </w:rPr>
        <w:instrText xml:space="preserve"> SEQ Chart \* ARABIC </w:instrText>
      </w:r>
      <w:r w:rsidRPr="00ED35AC">
        <w:rPr>
          <w:rFonts w:ascii="Arial" w:hAnsi="Arial" w:cs="Arial"/>
          <w:color w:val="4D647C"/>
          <w:sz w:val="22"/>
          <w:szCs w:val="22"/>
        </w:rPr>
        <w:fldChar w:fldCharType="separate"/>
      </w:r>
      <w:r w:rsidRPr="00ED35AC">
        <w:rPr>
          <w:rFonts w:ascii="Arial" w:hAnsi="Arial" w:cs="Arial"/>
          <w:noProof/>
          <w:color w:val="4D647C"/>
          <w:sz w:val="22"/>
          <w:szCs w:val="22"/>
        </w:rPr>
        <w:t>10</w:t>
      </w:r>
      <w:r w:rsidRPr="00ED35AC">
        <w:rPr>
          <w:rFonts w:ascii="Arial" w:hAnsi="Arial" w:cs="Arial"/>
          <w:noProof/>
          <w:color w:val="4D647C"/>
          <w:sz w:val="22"/>
          <w:szCs w:val="22"/>
        </w:rPr>
        <w:fldChar w:fldCharType="end"/>
      </w:r>
    </w:p>
    <w:p w14:paraId="57C904EA" w14:textId="77777777" w:rsidR="00A34A08" w:rsidRPr="00734B41" w:rsidRDefault="00A34A08" w:rsidP="00D80EB4">
      <w:pPr>
        <w:spacing w:before="0" w:after="0" w:line="288" w:lineRule="auto"/>
        <w:rPr>
          <w:rFonts w:ascii="Arial" w:hAnsi="Arial" w:cs="Arial"/>
          <w:sz w:val="22"/>
          <w:szCs w:val="22"/>
        </w:rPr>
      </w:pPr>
    </w:p>
    <w:p w14:paraId="55CE6F7B" w14:textId="1814C089" w:rsidR="00A34A08" w:rsidRDefault="00A34A08" w:rsidP="00D80EB4">
      <w:pPr>
        <w:spacing w:before="0" w:after="0" w:line="288" w:lineRule="auto"/>
        <w:rPr>
          <w:rFonts w:ascii="Arial" w:hAnsi="Arial" w:cs="Arial"/>
          <w:sz w:val="22"/>
          <w:szCs w:val="22"/>
        </w:rPr>
      </w:pPr>
      <w:r w:rsidRPr="00734B41">
        <w:rPr>
          <w:rFonts w:ascii="Arial" w:hAnsi="Arial" w:cs="Arial"/>
          <w:sz w:val="22"/>
          <w:szCs w:val="22"/>
        </w:rPr>
        <w:t>The advisor group and trustee group have been combined to enable anonymous reporting. Chart 11 shows the results in comparison to 2021. The chart shows an increase in white representation and a decrease in representation of non-white groups. However, this could be attributed to the increased participation of the survey in both the advisor and the trustee groups in 2022 compared to 2021 and may not represent a real change.</w:t>
      </w:r>
    </w:p>
    <w:p w14:paraId="6F2B04D5" w14:textId="77777777" w:rsidR="003A3D10" w:rsidRPr="00734B41" w:rsidRDefault="003A3D10" w:rsidP="00734B41">
      <w:pPr>
        <w:spacing w:before="0" w:after="0" w:line="288" w:lineRule="auto"/>
        <w:jc w:val="both"/>
        <w:rPr>
          <w:rFonts w:ascii="Arial" w:hAnsi="Arial" w:cs="Arial"/>
          <w:sz w:val="22"/>
          <w:szCs w:val="22"/>
        </w:rPr>
      </w:pPr>
    </w:p>
    <w:p w14:paraId="32DA0DFB" w14:textId="77777777" w:rsidR="00A34A08" w:rsidRPr="00734B41" w:rsidRDefault="00A34A08" w:rsidP="00734B41">
      <w:pPr>
        <w:keepNext/>
        <w:spacing w:before="0" w:after="0" w:line="288" w:lineRule="auto"/>
        <w:jc w:val="center"/>
        <w:rPr>
          <w:rFonts w:ascii="Arial" w:hAnsi="Arial" w:cs="Arial"/>
          <w:sz w:val="22"/>
          <w:szCs w:val="22"/>
        </w:rPr>
      </w:pPr>
      <w:r w:rsidRPr="00734B41">
        <w:rPr>
          <w:rFonts w:ascii="Arial" w:hAnsi="Arial" w:cs="Arial"/>
          <w:noProof/>
          <w:sz w:val="22"/>
          <w:szCs w:val="22"/>
        </w:rPr>
        <w:lastRenderedPageBreak/>
        <w:drawing>
          <wp:inline distT="0" distB="0" distL="0" distR="0" wp14:anchorId="44383D11" wp14:editId="60656101">
            <wp:extent cx="4320000" cy="2520000"/>
            <wp:effectExtent l="0" t="0" r="4445" b="13970"/>
            <wp:docPr id="23" name="Chart 23">
              <a:extLst xmlns:a="http://schemas.openxmlformats.org/drawingml/2006/main">
                <a:ext uri="{FF2B5EF4-FFF2-40B4-BE49-F238E27FC236}">
                  <a16:creationId xmlns:a16="http://schemas.microsoft.com/office/drawing/2014/main" id="{09A65B98-8279-4EA8-8D76-1AF2D8BC8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CBF5E1" w14:textId="2C47467F" w:rsidR="00ED35AC" w:rsidRPr="003A3D10" w:rsidRDefault="00A34A08" w:rsidP="003A3D10">
      <w:pPr>
        <w:pStyle w:val="Caption"/>
        <w:spacing w:before="0" w:after="0" w:line="288" w:lineRule="auto"/>
        <w:jc w:val="center"/>
        <w:rPr>
          <w:rFonts w:ascii="Arial" w:hAnsi="Arial" w:cs="Arial"/>
          <w:color w:val="4D647C"/>
          <w:sz w:val="22"/>
          <w:szCs w:val="22"/>
        </w:rPr>
      </w:pPr>
      <w:r w:rsidRPr="00ED35AC">
        <w:rPr>
          <w:rFonts w:ascii="Arial" w:hAnsi="Arial" w:cs="Arial"/>
          <w:color w:val="4D647C"/>
          <w:sz w:val="22"/>
          <w:szCs w:val="22"/>
        </w:rPr>
        <w:t xml:space="preserve">Chart </w:t>
      </w:r>
      <w:r w:rsidRPr="00ED35AC">
        <w:rPr>
          <w:rFonts w:ascii="Arial" w:hAnsi="Arial" w:cs="Arial"/>
          <w:color w:val="4D647C"/>
          <w:sz w:val="22"/>
          <w:szCs w:val="22"/>
        </w:rPr>
        <w:fldChar w:fldCharType="begin"/>
      </w:r>
      <w:r w:rsidRPr="00ED35AC">
        <w:rPr>
          <w:rFonts w:ascii="Arial" w:hAnsi="Arial" w:cs="Arial"/>
          <w:color w:val="4D647C"/>
          <w:sz w:val="22"/>
          <w:szCs w:val="22"/>
        </w:rPr>
        <w:instrText xml:space="preserve"> SEQ Chart \* ARABIC </w:instrText>
      </w:r>
      <w:r w:rsidRPr="00ED35AC">
        <w:rPr>
          <w:rFonts w:ascii="Arial" w:hAnsi="Arial" w:cs="Arial"/>
          <w:color w:val="4D647C"/>
          <w:sz w:val="22"/>
          <w:szCs w:val="22"/>
        </w:rPr>
        <w:fldChar w:fldCharType="separate"/>
      </w:r>
      <w:r w:rsidRPr="00ED35AC">
        <w:rPr>
          <w:rFonts w:ascii="Arial" w:hAnsi="Arial" w:cs="Arial"/>
          <w:noProof/>
          <w:color w:val="4D647C"/>
          <w:sz w:val="22"/>
          <w:szCs w:val="22"/>
        </w:rPr>
        <w:t>11</w:t>
      </w:r>
      <w:r w:rsidRPr="00ED35AC">
        <w:rPr>
          <w:rFonts w:ascii="Arial" w:hAnsi="Arial" w:cs="Arial"/>
          <w:noProof/>
          <w:color w:val="4D647C"/>
          <w:sz w:val="22"/>
          <w:szCs w:val="22"/>
        </w:rPr>
        <w:fldChar w:fldCharType="end"/>
      </w:r>
    </w:p>
    <w:p w14:paraId="1516B0A6" w14:textId="45683587" w:rsidR="00A34A08" w:rsidRPr="003A3D10" w:rsidRDefault="00A34A08" w:rsidP="00D80EB4">
      <w:pPr>
        <w:spacing w:before="0" w:after="0" w:line="288" w:lineRule="auto"/>
        <w:rPr>
          <w:rFonts w:ascii="Arial" w:hAnsi="Arial" w:cs="Arial"/>
        </w:rPr>
      </w:pPr>
      <w:r w:rsidRPr="003A3D10">
        <w:rPr>
          <w:rFonts w:ascii="Arial" w:hAnsi="Arial" w:cs="Arial"/>
        </w:rPr>
        <w:t>*The expanded list of diversity in this group is Asian or Asian British, Chinese, Indian, Pakistani or Other; and British or Black British, Caribbean, or African; and Mixed or Multiple Ethnic groups, White &amp; Asian and White &amp; Black African; and Other Ethnic groups</w:t>
      </w:r>
      <w:r w:rsidR="003A3D10">
        <w:rPr>
          <w:rFonts w:ascii="Arial" w:hAnsi="Arial" w:cs="Arial"/>
        </w:rPr>
        <w:t>.</w:t>
      </w:r>
    </w:p>
    <w:p w14:paraId="51EB2CD2" w14:textId="751DC1B7" w:rsidR="00623C59" w:rsidRPr="00734B41" w:rsidRDefault="00623C59" w:rsidP="00734B41">
      <w:pPr>
        <w:spacing w:before="0" w:after="0" w:line="288" w:lineRule="auto"/>
        <w:rPr>
          <w:rFonts w:ascii="Arial" w:hAnsi="Arial" w:cs="Arial"/>
          <w:sz w:val="22"/>
          <w:szCs w:val="22"/>
        </w:rPr>
      </w:pPr>
    </w:p>
    <w:p w14:paraId="7FA6831A" w14:textId="16A4943B" w:rsidR="005C5ECC" w:rsidRPr="00ED35AC" w:rsidRDefault="00FA6871" w:rsidP="00D80EB4">
      <w:pPr>
        <w:spacing w:before="0" w:after="0" w:line="288" w:lineRule="auto"/>
        <w:rPr>
          <w:rStyle w:val="IntenseEmphasis"/>
          <w:rFonts w:ascii="Arial" w:hAnsi="Arial" w:cs="Arial"/>
          <w:caps w:val="0"/>
          <w:color w:val="4D647C"/>
          <w:sz w:val="22"/>
          <w:szCs w:val="22"/>
        </w:rPr>
      </w:pPr>
      <w:r w:rsidRPr="00ED35AC">
        <w:rPr>
          <w:rStyle w:val="IntenseEmphasis"/>
          <w:rFonts w:ascii="Arial" w:hAnsi="Arial" w:cs="Arial"/>
          <w:caps w:val="0"/>
          <w:color w:val="4D647C"/>
          <w:sz w:val="22"/>
          <w:szCs w:val="22"/>
        </w:rPr>
        <w:t>Disability</w:t>
      </w:r>
    </w:p>
    <w:p w14:paraId="70598293" w14:textId="2E78C929" w:rsidR="00A34A08" w:rsidRDefault="00A34A08" w:rsidP="00D80EB4">
      <w:pPr>
        <w:spacing w:before="0" w:after="0" w:line="288" w:lineRule="auto"/>
        <w:rPr>
          <w:rFonts w:ascii="Arial" w:hAnsi="Arial" w:cs="Arial"/>
          <w:sz w:val="22"/>
          <w:szCs w:val="22"/>
        </w:rPr>
      </w:pPr>
      <w:r w:rsidRPr="00734B41">
        <w:rPr>
          <w:rFonts w:ascii="Arial" w:hAnsi="Arial" w:cs="Arial"/>
          <w:sz w:val="22"/>
          <w:szCs w:val="22"/>
        </w:rPr>
        <w:t xml:space="preserve">This question asked whether respondents consider themselves to be disabled and the results for the employee group are given in the table below. There is a slight upward trend in the proportion of employees who consider themselves to be disabled. </w:t>
      </w:r>
    </w:p>
    <w:p w14:paraId="6AC9E935" w14:textId="77777777" w:rsidR="00ED35AC" w:rsidRPr="00734B41" w:rsidRDefault="00ED35AC" w:rsidP="00734B41">
      <w:pPr>
        <w:spacing w:before="0" w:after="0" w:line="288" w:lineRule="auto"/>
        <w:jc w:val="both"/>
        <w:rPr>
          <w:rFonts w:ascii="Arial" w:hAnsi="Arial" w:cs="Arial"/>
          <w:sz w:val="22"/>
          <w:szCs w:val="22"/>
        </w:rPr>
      </w:pPr>
    </w:p>
    <w:tbl>
      <w:tblPr>
        <w:tblStyle w:val="ListTable1Light-Accent3"/>
        <w:tblW w:w="0" w:type="auto"/>
        <w:tblLook w:val="04A0" w:firstRow="1" w:lastRow="0" w:firstColumn="1" w:lastColumn="0" w:noHBand="0" w:noVBand="1"/>
      </w:tblPr>
      <w:tblGrid>
        <w:gridCol w:w="2448"/>
        <w:gridCol w:w="2202"/>
        <w:gridCol w:w="2350"/>
        <w:gridCol w:w="2350"/>
      </w:tblGrid>
      <w:tr w:rsidR="003A3D10" w:rsidRPr="00734B41" w14:paraId="5A833491" w14:textId="77777777" w:rsidTr="00286AEF">
        <w:trPr>
          <w:cnfStyle w:val="100000000000" w:firstRow="1" w:lastRow="0" w:firstColumn="0" w:lastColumn="0" w:oddVBand="0" w:evenVBand="0" w:oddHBand="0"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9350" w:type="dxa"/>
            <w:gridSpan w:val="4"/>
            <w:vAlign w:val="center"/>
          </w:tcPr>
          <w:p w14:paraId="7287B04B" w14:textId="77777777" w:rsidR="003A3D10" w:rsidRPr="00286AEF" w:rsidRDefault="003A3D10" w:rsidP="00286AEF">
            <w:pPr>
              <w:spacing w:before="0" w:line="288" w:lineRule="auto"/>
              <w:jc w:val="center"/>
              <w:rPr>
                <w:rFonts w:ascii="Arial" w:hAnsi="Arial" w:cs="Arial"/>
                <w:b w:val="0"/>
                <w:bCs w:val="0"/>
                <w:color w:val="4D647C"/>
                <w:sz w:val="24"/>
                <w:szCs w:val="24"/>
              </w:rPr>
            </w:pPr>
            <w:r w:rsidRPr="00286AEF">
              <w:rPr>
                <w:rFonts w:ascii="Arial" w:hAnsi="Arial" w:cs="Arial"/>
                <w:color w:val="4D647C"/>
                <w:sz w:val="24"/>
                <w:szCs w:val="24"/>
              </w:rPr>
              <w:t>Employee group</w:t>
            </w:r>
          </w:p>
        </w:tc>
      </w:tr>
      <w:tr w:rsidR="003A3D10" w:rsidRPr="00286AEF" w14:paraId="5D18D319" w14:textId="77777777" w:rsidTr="002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vAlign w:val="center"/>
          </w:tcPr>
          <w:p w14:paraId="76847A4F" w14:textId="60BEEF5B" w:rsidR="00A34A08" w:rsidRPr="00286AEF" w:rsidRDefault="00A34A08" w:rsidP="00286AEF">
            <w:pPr>
              <w:spacing w:before="0" w:line="288" w:lineRule="auto"/>
              <w:jc w:val="center"/>
              <w:rPr>
                <w:rFonts w:ascii="Arial" w:hAnsi="Arial" w:cs="Arial"/>
                <w:color w:val="4D647C"/>
                <w:sz w:val="22"/>
                <w:szCs w:val="22"/>
              </w:rPr>
            </w:pPr>
            <w:r w:rsidRPr="00286AEF">
              <w:rPr>
                <w:rFonts w:ascii="Arial" w:hAnsi="Arial" w:cs="Arial"/>
                <w:color w:val="4D647C"/>
                <w:sz w:val="22"/>
                <w:szCs w:val="22"/>
              </w:rPr>
              <w:t>Identified as disabled?</w:t>
            </w:r>
          </w:p>
        </w:tc>
        <w:tc>
          <w:tcPr>
            <w:tcW w:w="2202" w:type="dxa"/>
            <w:vAlign w:val="center"/>
          </w:tcPr>
          <w:p w14:paraId="53552E85" w14:textId="77777777" w:rsidR="00A34A08" w:rsidRPr="00286AEF" w:rsidRDefault="00A34A08" w:rsidP="00286AEF">
            <w:pPr>
              <w:spacing w:before="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4D647C"/>
                <w:sz w:val="22"/>
                <w:szCs w:val="22"/>
              </w:rPr>
            </w:pPr>
            <w:r w:rsidRPr="00286AEF">
              <w:rPr>
                <w:rFonts w:ascii="Arial" w:hAnsi="Arial" w:cs="Arial"/>
                <w:b/>
                <w:bCs/>
                <w:color w:val="4D647C"/>
                <w:sz w:val="22"/>
                <w:szCs w:val="22"/>
              </w:rPr>
              <w:t>2022</w:t>
            </w:r>
          </w:p>
        </w:tc>
        <w:tc>
          <w:tcPr>
            <w:tcW w:w="2350" w:type="dxa"/>
            <w:vAlign w:val="center"/>
          </w:tcPr>
          <w:p w14:paraId="05E68E0B" w14:textId="77777777" w:rsidR="00A34A08" w:rsidRPr="00286AEF" w:rsidRDefault="00A34A08" w:rsidP="00286AEF">
            <w:pPr>
              <w:spacing w:before="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4D647C"/>
                <w:sz w:val="22"/>
                <w:szCs w:val="22"/>
              </w:rPr>
            </w:pPr>
            <w:r w:rsidRPr="00286AEF">
              <w:rPr>
                <w:rFonts w:ascii="Arial" w:hAnsi="Arial" w:cs="Arial"/>
                <w:b/>
                <w:bCs/>
                <w:color w:val="4D647C"/>
                <w:sz w:val="22"/>
                <w:szCs w:val="22"/>
              </w:rPr>
              <w:t>2021</w:t>
            </w:r>
          </w:p>
        </w:tc>
        <w:tc>
          <w:tcPr>
            <w:tcW w:w="2350" w:type="dxa"/>
            <w:vAlign w:val="center"/>
          </w:tcPr>
          <w:p w14:paraId="78E3FAC8" w14:textId="77777777" w:rsidR="00A34A08" w:rsidRPr="00286AEF" w:rsidRDefault="00A34A08" w:rsidP="00286AEF">
            <w:pPr>
              <w:spacing w:before="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4D647C"/>
                <w:sz w:val="22"/>
                <w:szCs w:val="22"/>
              </w:rPr>
            </w:pPr>
            <w:r w:rsidRPr="00286AEF">
              <w:rPr>
                <w:rFonts w:ascii="Arial" w:hAnsi="Arial" w:cs="Arial"/>
                <w:b/>
                <w:bCs/>
                <w:color w:val="4D647C"/>
                <w:sz w:val="22"/>
                <w:szCs w:val="22"/>
              </w:rPr>
              <w:t>2019</w:t>
            </w:r>
          </w:p>
        </w:tc>
      </w:tr>
      <w:tr w:rsidR="00A34A08" w:rsidRPr="00286AEF" w14:paraId="2262E9C2" w14:textId="77777777" w:rsidTr="00286AEF">
        <w:trPr>
          <w:trHeight w:val="504"/>
        </w:trPr>
        <w:tc>
          <w:tcPr>
            <w:cnfStyle w:val="001000000000" w:firstRow="0" w:lastRow="0" w:firstColumn="1" w:lastColumn="0" w:oddVBand="0" w:evenVBand="0" w:oddHBand="0" w:evenHBand="0" w:firstRowFirstColumn="0" w:firstRowLastColumn="0" w:lastRowFirstColumn="0" w:lastRowLastColumn="0"/>
            <w:tcW w:w="2448" w:type="dxa"/>
            <w:vAlign w:val="center"/>
          </w:tcPr>
          <w:p w14:paraId="1C675D72" w14:textId="77777777" w:rsidR="00A34A08" w:rsidRPr="00286AEF" w:rsidRDefault="00A34A08" w:rsidP="00286AEF">
            <w:pPr>
              <w:spacing w:before="0" w:line="288" w:lineRule="auto"/>
              <w:jc w:val="center"/>
              <w:rPr>
                <w:rFonts w:ascii="Arial" w:hAnsi="Arial" w:cs="Arial"/>
                <w:color w:val="4D647C"/>
                <w:sz w:val="22"/>
                <w:szCs w:val="22"/>
              </w:rPr>
            </w:pPr>
            <w:r w:rsidRPr="00286AEF">
              <w:rPr>
                <w:rFonts w:ascii="Arial" w:hAnsi="Arial" w:cs="Arial"/>
                <w:color w:val="4D647C"/>
                <w:sz w:val="22"/>
                <w:szCs w:val="22"/>
              </w:rPr>
              <w:t>Yes</w:t>
            </w:r>
          </w:p>
        </w:tc>
        <w:tc>
          <w:tcPr>
            <w:tcW w:w="2202" w:type="dxa"/>
            <w:vAlign w:val="center"/>
          </w:tcPr>
          <w:p w14:paraId="44789F74" w14:textId="77777777" w:rsidR="00A34A08" w:rsidRPr="00286AEF" w:rsidRDefault="00A34A08" w:rsidP="00286AEF">
            <w:pPr>
              <w:spacing w:before="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4D647C"/>
                <w:sz w:val="22"/>
                <w:szCs w:val="22"/>
              </w:rPr>
            </w:pPr>
            <w:r w:rsidRPr="00286AEF">
              <w:rPr>
                <w:rFonts w:ascii="Arial" w:hAnsi="Arial" w:cs="Arial"/>
                <w:color w:val="4D647C"/>
                <w:sz w:val="22"/>
                <w:szCs w:val="22"/>
              </w:rPr>
              <w:t>9% or fewer</w:t>
            </w:r>
          </w:p>
        </w:tc>
        <w:tc>
          <w:tcPr>
            <w:tcW w:w="2350" w:type="dxa"/>
            <w:vAlign w:val="center"/>
          </w:tcPr>
          <w:p w14:paraId="6289F217" w14:textId="77777777" w:rsidR="00A34A08" w:rsidRPr="00286AEF" w:rsidRDefault="00A34A08" w:rsidP="00286AEF">
            <w:pPr>
              <w:spacing w:before="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4D647C"/>
                <w:sz w:val="22"/>
                <w:szCs w:val="22"/>
              </w:rPr>
            </w:pPr>
            <w:r w:rsidRPr="00286AEF">
              <w:rPr>
                <w:rFonts w:ascii="Arial" w:hAnsi="Arial" w:cs="Arial"/>
                <w:color w:val="4D647C"/>
                <w:sz w:val="22"/>
                <w:szCs w:val="22"/>
              </w:rPr>
              <w:t>8% or fewer</w:t>
            </w:r>
          </w:p>
        </w:tc>
        <w:tc>
          <w:tcPr>
            <w:tcW w:w="2350" w:type="dxa"/>
            <w:vAlign w:val="center"/>
          </w:tcPr>
          <w:p w14:paraId="61194B19" w14:textId="77777777" w:rsidR="00A34A08" w:rsidRPr="00286AEF" w:rsidRDefault="00A34A08" w:rsidP="00286AEF">
            <w:pPr>
              <w:spacing w:before="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4D647C"/>
                <w:sz w:val="22"/>
                <w:szCs w:val="22"/>
              </w:rPr>
            </w:pPr>
            <w:r w:rsidRPr="00286AEF">
              <w:rPr>
                <w:rFonts w:ascii="Arial" w:hAnsi="Arial" w:cs="Arial"/>
                <w:color w:val="4D647C"/>
                <w:sz w:val="22"/>
                <w:szCs w:val="22"/>
              </w:rPr>
              <w:t>6% or fewer</w:t>
            </w:r>
          </w:p>
        </w:tc>
      </w:tr>
      <w:tr w:rsidR="00A34A08" w:rsidRPr="00286AEF" w14:paraId="46E95E39" w14:textId="77777777" w:rsidTr="00286AEF">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448" w:type="dxa"/>
            <w:vAlign w:val="center"/>
          </w:tcPr>
          <w:p w14:paraId="47AE6BA0" w14:textId="77777777" w:rsidR="00A34A08" w:rsidRPr="00286AEF" w:rsidRDefault="00A34A08" w:rsidP="00286AEF">
            <w:pPr>
              <w:spacing w:before="0" w:line="288" w:lineRule="auto"/>
              <w:jc w:val="center"/>
              <w:rPr>
                <w:rFonts w:ascii="Arial" w:hAnsi="Arial" w:cs="Arial"/>
                <w:color w:val="4D647C"/>
                <w:sz w:val="22"/>
                <w:szCs w:val="22"/>
              </w:rPr>
            </w:pPr>
            <w:r w:rsidRPr="00286AEF">
              <w:rPr>
                <w:rFonts w:ascii="Arial" w:hAnsi="Arial" w:cs="Arial"/>
                <w:color w:val="4D647C"/>
                <w:sz w:val="22"/>
                <w:szCs w:val="22"/>
              </w:rPr>
              <w:t>No</w:t>
            </w:r>
          </w:p>
        </w:tc>
        <w:tc>
          <w:tcPr>
            <w:tcW w:w="2202" w:type="dxa"/>
            <w:vAlign w:val="center"/>
          </w:tcPr>
          <w:p w14:paraId="0963C327" w14:textId="77777777" w:rsidR="00A34A08" w:rsidRPr="00286AEF" w:rsidRDefault="00A34A08" w:rsidP="00286AEF">
            <w:pPr>
              <w:spacing w:before="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4D647C"/>
                <w:sz w:val="22"/>
                <w:szCs w:val="22"/>
              </w:rPr>
            </w:pPr>
            <w:r w:rsidRPr="00286AEF">
              <w:rPr>
                <w:rFonts w:ascii="Arial" w:hAnsi="Arial" w:cs="Arial"/>
                <w:color w:val="4D647C"/>
                <w:sz w:val="22"/>
                <w:szCs w:val="22"/>
              </w:rPr>
              <w:t>89% or fewer</w:t>
            </w:r>
          </w:p>
        </w:tc>
        <w:tc>
          <w:tcPr>
            <w:tcW w:w="2350" w:type="dxa"/>
            <w:vAlign w:val="center"/>
          </w:tcPr>
          <w:p w14:paraId="53426378" w14:textId="77777777" w:rsidR="00A34A08" w:rsidRPr="00286AEF" w:rsidRDefault="00A34A08" w:rsidP="00286AEF">
            <w:pPr>
              <w:spacing w:before="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4D647C"/>
                <w:sz w:val="22"/>
                <w:szCs w:val="22"/>
              </w:rPr>
            </w:pPr>
            <w:r w:rsidRPr="00286AEF">
              <w:rPr>
                <w:rFonts w:ascii="Arial" w:hAnsi="Arial" w:cs="Arial"/>
                <w:color w:val="4D647C"/>
                <w:sz w:val="22"/>
                <w:szCs w:val="22"/>
              </w:rPr>
              <w:t>90% or fewer</w:t>
            </w:r>
          </w:p>
        </w:tc>
        <w:tc>
          <w:tcPr>
            <w:tcW w:w="2350" w:type="dxa"/>
            <w:vAlign w:val="center"/>
          </w:tcPr>
          <w:p w14:paraId="34EEC431" w14:textId="77777777" w:rsidR="00A34A08" w:rsidRPr="00286AEF" w:rsidRDefault="00A34A08" w:rsidP="00286AEF">
            <w:pPr>
              <w:spacing w:before="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4D647C"/>
                <w:sz w:val="22"/>
                <w:szCs w:val="22"/>
              </w:rPr>
            </w:pPr>
            <w:r w:rsidRPr="00286AEF">
              <w:rPr>
                <w:rFonts w:ascii="Arial" w:hAnsi="Arial" w:cs="Arial"/>
                <w:color w:val="4D647C"/>
                <w:sz w:val="22"/>
                <w:szCs w:val="22"/>
              </w:rPr>
              <w:t>91% or fewer</w:t>
            </w:r>
          </w:p>
        </w:tc>
      </w:tr>
    </w:tbl>
    <w:p w14:paraId="01D0830F" w14:textId="77777777" w:rsidR="00A34A08" w:rsidRPr="00734B41" w:rsidRDefault="00A34A08" w:rsidP="00D80EB4">
      <w:pPr>
        <w:spacing w:before="0" w:after="0" w:line="288" w:lineRule="auto"/>
        <w:rPr>
          <w:rFonts w:ascii="Arial" w:hAnsi="Arial" w:cs="Arial"/>
          <w:sz w:val="22"/>
          <w:szCs w:val="22"/>
        </w:rPr>
      </w:pPr>
    </w:p>
    <w:p w14:paraId="37407B77" w14:textId="5F0482C0" w:rsidR="00A34A08" w:rsidRDefault="00A34A08" w:rsidP="00D80EB4">
      <w:pPr>
        <w:spacing w:before="0" w:after="0" w:line="288" w:lineRule="auto"/>
        <w:rPr>
          <w:rFonts w:ascii="Arial" w:hAnsi="Arial" w:cs="Arial"/>
          <w:sz w:val="22"/>
          <w:szCs w:val="22"/>
        </w:rPr>
      </w:pPr>
      <w:r w:rsidRPr="00734B41">
        <w:rPr>
          <w:rFonts w:ascii="Arial" w:hAnsi="Arial" w:cs="Arial"/>
          <w:sz w:val="22"/>
          <w:szCs w:val="22"/>
        </w:rPr>
        <w:t xml:space="preserve">The results for the advisor group and trustee group have been combined for anonymity. The results show that up to 23% of respondents consider themselves to have a disability. This is a large increase against 2021 when all respondents considered that they did not have a disability.   </w:t>
      </w:r>
    </w:p>
    <w:p w14:paraId="4B18DA30" w14:textId="77777777" w:rsidR="00ED35AC" w:rsidRPr="00734B41" w:rsidRDefault="00ED35AC" w:rsidP="00734B41">
      <w:pPr>
        <w:spacing w:before="0" w:after="0" w:line="288" w:lineRule="auto"/>
        <w:jc w:val="both"/>
        <w:rPr>
          <w:rFonts w:ascii="Arial" w:hAnsi="Arial" w:cs="Arial"/>
          <w:sz w:val="22"/>
          <w:szCs w:val="22"/>
        </w:rPr>
      </w:pPr>
    </w:p>
    <w:tbl>
      <w:tblPr>
        <w:tblStyle w:val="ListTable1Light-Accent3"/>
        <w:tblW w:w="0" w:type="auto"/>
        <w:jc w:val="center"/>
        <w:tblLook w:val="04A0" w:firstRow="1" w:lastRow="0" w:firstColumn="1" w:lastColumn="0" w:noHBand="0" w:noVBand="1"/>
      </w:tblPr>
      <w:tblGrid>
        <w:gridCol w:w="2547"/>
        <w:gridCol w:w="3265"/>
        <w:gridCol w:w="3538"/>
      </w:tblGrid>
      <w:tr w:rsidR="003A3D10" w:rsidRPr="003A3D10" w14:paraId="27721665" w14:textId="77777777" w:rsidTr="00286AEF">
        <w:trPr>
          <w:cnfStyle w:val="100000000000" w:firstRow="1" w:lastRow="0" w:firstColumn="0" w:lastColumn="0" w:oddVBand="0" w:evenVBand="0" w:oddHBand="0"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9350" w:type="dxa"/>
            <w:gridSpan w:val="3"/>
            <w:vAlign w:val="center"/>
          </w:tcPr>
          <w:p w14:paraId="43121310" w14:textId="77777777" w:rsidR="003A3D10" w:rsidRPr="00286AEF" w:rsidRDefault="003A3D10" w:rsidP="00286AEF">
            <w:pPr>
              <w:spacing w:before="0" w:line="288" w:lineRule="auto"/>
              <w:jc w:val="center"/>
              <w:rPr>
                <w:rFonts w:ascii="Arial" w:hAnsi="Arial" w:cs="Arial"/>
                <w:b w:val="0"/>
                <w:bCs w:val="0"/>
                <w:color w:val="4D647C"/>
                <w:sz w:val="24"/>
                <w:szCs w:val="24"/>
              </w:rPr>
            </w:pPr>
            <w:r w:rsidRPr="00286AEF">
              <w:rPr>
                <w:rFonts w:ascii="Arial" w:hAnsi="Arial" w:cs="Arial"/>
                <w:color w:val="4D647C"/>
                <w:sz w:val="24"/>
                <w:szCs w:val="24"/>
              </w:rPr>
              <w:t>Combined advisor and trustee group</w:t>
            </w:r>
          </w:p>
        </w:tc>
      </w:tr>
      <w:tr w:rsidR="00A34A08" w:rsidRPr="00286AEF" w14:paraId="741C7EF6" w14:textId="77777777" w:rsidTr="00286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ED1E267" w14:textId="77777777" w:rsidR="00A34A08" w:rsidRPr="00286AEF" w:rsidRDefault="00A34A08" w:rsidP="00286AEF">
            <w:pPr>
              <w:spacing w:before="0" w:line="288" w:lineRule="auto"/>
              <w:jc w:val="center"/>
              <w:rPr>
                <w:rFonts w:ascii="Arial" w:hAnsi="Arial" w:cs="Arial"/>
                <w:color w:val="4D647C"/>
                <w:sz w:val="22"/>
                <w:szCs w:val="22"/>
              </w:rPr>
            </w:pPr>
            <w:r w:rsidRPr="00286AEF">
              <w:rPr>
                <w:rFonts w:ascii="Arial" w:hAnsi="Arial" w:cs="Arial"/>
                <w:color w:val="4D647C"/>
                <w:sz w:val="22"/>
                <w:szCs w:val="22"/>
              </w:rPr>
              <w:t>Identified as disabled?</w:t>
            </w:r>
          </w:p>
        </w:tc>
        <w:tc>
          <w:tcPr>
            <w:tcW w:w="3265" w:type="dxa"/>
            <w:vAlign w:val="center"/>
          </w:tcPr>
          <w:p w14:paraId="34E76EB9" w14:textId="77777777" w:rsidR="00A34A08" w:rsidRPr="00286AEF" w:rsidRDefault="00A34A08" w:rsidP="00286AEF">
            <w:pPr>
              <w:spacing w:before="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4D647C"/>
                <w:sz w:val="22"/>
                <w:szCs w:val="22"/>
              </w:rPr>
            </w:pPr>
            <w:r w:rsidRPr="00286AEF">
              <w:rPr>
                <w:rFonts w:ascii="Arial" w:hAnsi="Arial" w:cs="Arial"/>
                <w:b/>
                <w:bCs/>
                <w:color w:val="4D647C"/>
                <w:sz w:val="22"/>
                <w:szCs w:val="22"/>
              </w:rPr>
              <w:t>2022</w:t>
            </w:r>
          </w:p>
        </w:tc>
        <w:tc>
          <w:tcPr>
            <w:tcW w:w="3538" w:type="dxa"/>
            <w:vAlign w:val="center"/>
          </w:tcPr>
          <w:p w14:paraId="2D8F78DD" w14:textId="77777777" w:rsidR="00A34A08" w:rsidRPr="00286AEF" w:rsidRDefault="00A34A08" w:rsidP="00286AEF">
            <w:pPr>
              <w:spacing w:before="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4D647C"/>
                <w:sz w:val="22"/>
                <w:szCs w:val="22"/>
              </w:rPr>
            </w:pPr>
            <w:r w:rsidRPr="00286AEF">
              <w:rPr>
                <w:rFonts w:ascii="Arial" w:hAnsi="Arial" w:cs="Arial"/>
                <w:b/>
                <w:bCs/>
                <w:color w:val="4D647C"/>
                <w:sz w:val="22"/>
                <w:szCs w:val="22"/>
              </w:rPr>
              <w:t>2021</w:t>
            </w:r>
          </w:p>
        </w:tc>
      </w:tr>
      <w:tr w:rsidR="00A34A08" w:rsidRPr="00286AEF" w14:paraId="7E089B36" w14:textId="77777777" w:rsidTr="00286AEF">
        <w:trPr>
          <w:trHeight w:val="501"/>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43FAAEB" w14:textId="77777777" w:rsidR="00A34A08" w:rsidRPr="00286AEF" w:rsidRDefault="00A34A08" w:rsidP="00286AEF">
            <w:pPr>
              <w:spacing w:before="0" w:line="288" w:lineRule="auto"/>
              <w:jc w:val="center"/>
              <w:rPr>
                <w:rFonts w:ascii="Arial" w:hAnsi="Arial" w:cs="Arial"/>
                <w:color w:val="4D647C"/>
                <w:sz w:val="22"/>
                <w:szCs w:val="22"/>
              </w:rPr>
            </w:pPr>
            <w:r w:rsidRPr="00286AEF">
              <w:rPr>
                <w:rFonts w:ascii="Arial" w:hAnsi="Arial" w:cs="Arial"/>
                <w:color w:val="4D647C"/>
                <w:sz w:val="22"/>
                <w:szCs w:val="22"/>
              </w:rPr>
              <w:t>Yes</w:t>
            </w:r>
          </w:p>
        </w:tc>
        <w:tc>
          <w:tcPr>
            <w:tcW w:w="3265" w:type="dxa"/>
            <w:vAlign w:val="center"/>
          </w:tcPr>
          <w:p w14:paraId="198C9D1D" w14:textId="77777777" w:rsidR="00A34A08" w:rsidRPr="00286AEF" w:rsidRDefault="00A34A08" w:rsidP="00286AEF">
            <w:pPr>
              <w:spacing w:before="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4D647C"/>
                <w:sz w:val="22"/>
                <w:szCs w:val="22"/>
              </w:rPr>
            </w:pPr>
            <w:r w:rsidRPr="00286AEF">
              <w:rPr>
                <w:rFonts w:ascii="Arial" w:hAnsi="Arial" w:cs="Arial"/>
                <w:color w:val="4D647C"/>
                <w:sz w:val="22"/>
                <w:szCs w:val="22"/>
              </w:rPr>
              <w:t>23% or fewer</w:t>
            </w:r>
          </w:p>
        </w:tc>
        <w:tc>
          <w:tcPr>
            <w:tcW w:w="3538" w:type="dxa"/>
            <w:vAlign w:val="center"/>
          </w:tcPr>
          <w:p w14:paraId="42742DAA" w14:textId="77777777" w:rsidR="00A34A08" w:rsidRPr="00286AEF" w:rsidRDefault="00A34A08" w:rsidP="00286AEF">
            <w:pPr>
              <w:spacing w:before="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4D647C"/>
                <w:sz w:val="22"/>
                <w:szCs w:val="22"/>
              </w:rPr>
            </w:pPr>
            <w:r w:rsidRPr="00286AEF">
              <w:rPr>
                <w:rFonts w:ascii="Arial" w:hAnsi="Arial" w:cs="Arial"/>
                <w:color w:val="4D647C"/>
                <w:sz w:val="22"/>
                <w:szCs w:val="22"/>
              </w:rPr>
              <w:t>0</w:t>
            </w:r>
          </w:p>
        </w:tc>
      </w:tr>
      <w:tr w:rsidR="00A34A08" w:rsidRPr="00286AEF" w14:paraId="15446CC9" w14:textId="77777777" w:rsidTr="00286AEF">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B375942" w14:textId="77777777" w:rsidR="00A34A08" w:rsidRPr="00286AEF" w:rsidRDefault="00A34A08" w:rsidP="00286AEF">
            <w:pPr>
              <w:spacing w:before="0" w:line="288" w:lineRule="auto"/>
              <w:jc w:val="center"/>
              <w:rPr>
                <w:rFonts w:ascii="Arial" w:hAnsi="Arial" w:cs="Arial"/>
                <w:color w:val="4D647C"/>
                <w:sz w:val="22"/>
                <w:szCs w:val="22"/>
              </w:rPr>
            </w:pPr>
            <w:r w:rsidRPr="00286AEF">
              <w:rPr>
                <w:rFonts w:ascii="Arial" w:hAnsi="Arial" w:cs="Arial"/>
                <w:color w:val="4D647C"/>
                <w:sz w:val="22"/>
                <w:szCs w:val="22"/>
              </w:rPr>
              <w:t>No</w:t>
            </w:r>
          </w:p>
        </w:tc>
        <w:tc>
          <w:tcPr>
            <w:tcW w:w="3265" w:type="dxa"/>
            <w:vAlign w:val="center"/>
          </w:tcPr>
          <w:p w14:paraId="05680F86" w14:textId="77777777" w:rsidR="00A34A08" w:rsidRPr="00286AEF" w:rsidRDefault="00A34A08" w:rsidP="00286AEF">
            <w:pPr>
              <w:spacing w:before="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4D647C"/>
                <w:sz w:val="22"/>
                <w:szCs w:val="22"/>
              </w:rPr>
            </w:pPr>
            <w:r w:rsidRPr="00286AEF">
              <w:rPr>
                <w:rFonts w:ascii="Arial" w:hAnsi="Arial" w:cs="Arial"/>
                <w:color w:val="4D647C"/>
                <w:sz w:val="22"/>
                <w:szCs w:val="22"/>
              </w:rPr>
              <w:t>78% or fewer</w:t>
            </w:r>
          </w:p>
        </w:tc>
        <w:tc>
          <w:tcPr>
            <w:tcW w:w="3538" w:type="dxa"/>
            <w:vAlign w:val="center"/>
          </w:tcPr>
          <w:p w14:paraId="0428334B" w14:textId="77777777" w:rsidR="00A34A08" w:rsidRPr="00286AEF" w:rsidRDefault="00A34A08" w:rsidP="00286AEF">
            <w:pPr>
              <w:spacing w:before="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4D647C"/>
                <w:sz w:val="22"/>
                <w:szCs w:val="22"/>
              </w:rPr>
            </w:pPr>
            <w:r w:rsidRPr="00286AEF">
              <w:rPr>
                <w:rFonts w:ascii="Arial" w:hAnsi="Arial" w:cs="Arial"/>
                <w:color w:val="4D647C"/>
                <w:sz w:val="22"/>
                <w:szCs w:val="22"/>
              </w:rPr>
              <w:t>100% or fewer</w:t>
            </w:r>
          </w:p>
        </w:tc>
      </w:tr>
    </w:tbl>
    <w:p w14:paraId="6F6B1540" w14:textId="1377467F" w:rsidR="00F669B4" w:rsidRDefault="00F25477" w:rsidP="00D80EB4">
      <w:pPr>
        <w:spacing w:before="0" w:after="0" w:line="288" w:lineRule="auto"/>
        <w:rPr>
          <w:rStyle w:val="IntenseEmphasis"/>
          <w:rFonts w:ascii="Arial" w:hAnsi="Arial" w:cs="Arial"/>
          <w:caps w:val="0"/>
          <w:color w:val="4D647C"/>
          <w:sz w:val="22"/>
          <w:szCs w:val="22"/>
        </w:rPr>
      </w:pPr>
      <w:r w:rsidRPr="00ED35AC">
        <w:rPr>
          <w:rFonts w:ascii="Arial" w:hAnsi="Arial" w:cs="Arial"/>
          <w:noProof/>
          <w:color w:val="4D647C"/>
          <w:sz w:val="22"/>
          <w:szCs w:val="22"/>
        </w:rPr>
        <w:lastRenderedPageBreak/>
        <w:br/>
      </w:r>
      <w:r w:rsidR="00FA6871" w:rsidRPr="00ED35AC">
        <w:rPr>
          <w:rStyle w:val="IntenseEmphasis"/>
          <w:rFonts w:ascii="Arial" w:hAnsi="Arial" w:cs="Arial"/>
          <w:caps w:val="0"/>
          <w:color w:val="4D647C"/>
          <w:sz w:val="22"/>
          <w:szCs w:val="22"/>
        </w:rPr>
        <w:t>Sexual Orientation</w:t>
      </w:r>
    </w:p>
    <w:p w14:paraId="7D1B01F1" w14:textId="77777777" w:rsidR="00286AEF" w:rsidRDefault="00A34A08" w:rsidP="00D80EB4">
      <w:pPr>
        <w:spacing w:before="0" w:after="0" w:line="288" w:lineRule="auto"/>
        <w:rPr>
          <w:rFonts w:ascii="Arial" w:hAnsi="Arial" w:cs="Arial"/>
          <w:sz w:val="22"/>
          <w:szCs w:val="22"/>
        </w:rPr>
      </w:pPr>
      <w:r w:rsidRPr="00734B41">
        <w:rPr>
          <w:rFonts w:ascii="Arial" w:hAnsi="Arial" w:cs="Arial"/>
          <w:sz w:val="22"/>
          <w:szCs w:val="22"/>
        </w:rPr>
        <w:t xml:space="preserve">The question on sexual orientation resulted in small response numbers to some answer options which are not possible to break down entirely here. </w:t>
      </w:r>
    </w:p>
    <w:p w14:paraId="30D27DC1" w14:textId="77777777" w:rsidR="00286AEF" w:rsidRDefault="00286AEF" w:rsidP="00D80EB4">
      <w:pPr>
        <w:spacing w:before="0" w:after="0" w:line="288" w:lineRule="auto"/>
        <w:rPr>
          <w:rFonts w:ascii="Arial" w:hAnsi="Arial" w:cs="Arial"/>
          <w:sz w:val="22"/>
          <w:szCs w:val="22"/>
        </w:rPr>
      </w:pPr>
    </w:p>
    <w:p w14:paraId="46F0C459" w14:textId="1026853F" w:rsidR="003A3D10" w:rsidRDefault="00A34A08" w:rsidP="00D80EB4">
      <w:pPr>
        <w:spacing w:before="0" w:after="0" w:line="288" w:lineRule="auto"/>
        <w:rPr>
          <w:rFonts w:ascii="Arial" w:hAnsi="Arial" w:cs="Arial"/>
          <w:sz w:val="22"/>
          <w:szCs w:val="22"/>
        </w:rPr>
      </w:pPr>
      <w:r w:rsidRPr="00734B41">
        <w:rPr>
          <w:rFonts w:ascii="Arial" w:hAnsi="Arial" w:cs="Arial"/>
          <w:sz w:val="22"/>
          <w:szCs w:val="22"/>
        </w:rPr>
        <w:t>The responses to some categories have been grouped together although not all answers featured as a given response for each year.</w:t>
      </w:r>
    </w:p>
    <w:p w14:paraId="1BF2616A" w14:textId="77777777" w:rsidR="003A3D10" w:rsidRDefault="003A3D10" w:rsidP="00D80EB4">
      <w:pPr>
        <w:spacing w:before="0" w:after="0" w:line="288" w:lineRule="auto"/>
        <w:rPr>
          <w:rFonts w:ascii="Arial" w:hAnsi="Arial" w:cs="Arial"/>
          <w:sz w:val="22"/>
          <w:szCs w:val="22"/>
        </w:rPr>
      </w:pPr>
    </w:p>
    <w:p w14:paraId="0EFE953F" w14:textId="0882C5FE" w:rsidR="003A3D10" w:rsidRDefault="00A34A08" w:rsidP="00D80EB4">
      <w:pPr>
        <w:spacing w:before="0" w:after="0" w:line="288" w:lineRule="auto"/>
        <w:rPr>
          <w:rFonts w:ascii="Arial" w:hAnsi="Arial" w:cs="Arial"/>
          <w:sz w:val="22"/>
          <w:szCs w:val="22"/>
        </w:rPr>
      </w:pPr>
      <w:r w:rsidRPr="00734B41">
        <w:rPr>
          <w:rFonts w:ascii="Arial" w:hAnsi="Arial" w:cs="Arial"/>
          <w:sz w:val="22"/>
          <w:szCs w:val="22"/>
        </w:rPr>
        <w:t>However, we can see that by far the largest group represented was Heterosexual/Straight across each survey since 2019.</w:t>
      </w:r>
    </w:p>
    <w:p w14:paraId="5E348A4C" w14:textId="77777777" w:rsidR="003A3D10" w:rsidRDefault="003A3D10" w:rsidP="003A3D10">
      <w:pPr>
        <w:spacing w:before="0" w:after="0" w:line="288" w:lineRule="auto"/>
        <w:jc w:val="both"/>
        <w:rPr>
          <w:rFonts w:ascii="Arial" w:hAnsi="Arial" w:cs="Arial"/>
          <w:sz w:val="22"/>
          <w:szCs w:val="22"/>
        </w:rPr>
      </w:pPr>
    </w:p>
    <w:p w14:paraId="0C15D3CB" w14:textId="57B05AB7" w:rsidR="00A34A08" w:rsidRPr="00734B41" w:rsidRDefault="00A34A08" w:rsidP="003A3D10">
      <w:pPr>
        <w:spacing w:before="0" w:after="0" w:line="288" w:lineRule="auto"/>
        <w:jc w:val="center"/>
        <w:rPr>
          <w:rFonts w:ascii="Arial" w:hAnsi="Arial" w:cs="Arial"/>
          <w:sz w:val="22"/>
          <w:szCs w:val="22"/>
        </w:rPr>
      </w:pPr>
      <w:r w:rsidRPr="00734B41">
        <w:rPr>
          <w:rFonts w:ascii="Arial" w:hAnsi="Arial" w:cs="Arial"/>
          <w:noProof/>
          <w:sz w:val="22"/>
          <w:szCs w:val="22"/>
        </w:rPr>
        <w:drawing>
          <wp:inline distT="0" distB="0" distL="0" distR="0" wp14:anchorId="783E5C41" wp14:editId="428F710F">
            <wp:extent cx="4320000" cy="2520000"/>
            <wp:effectExtent l="0" t="0" r="4445" b="13970"/>
            <wp:docPr id="24" name="Chart 24">
              <a:extLst xmlns:a="http://schemas.openxmlformats.org/drawingml/2006/main">
                <a:ext uri="{FF2B5EF4-FFF2-40B4-BE49-F238E27FC236}">
                  <a16:creationId xmlns:a16="http://schemas.microsoft.com/office/drawing/2014/main" id="{0C762767-5FC5-47FA-92C7-93B61CDDE7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6AD715" w14:textId="77777777" w:rsidR="00A34A08" w:rsidRPr="00ED35AC" w:rsidRDefault="00A34A08" w:rsidP="00734B41">
      <w:pPr>
        <w:pStyle w:val="Caption"/>
        <w:spacing w:before="0" w:after="0" w:line="288" w:lineRule="auto"/>
        <w:jc w:val="center"/>
        <w:rPr>
          <w:rFonts w:ascii="Arial" w:hAnsi="Arial" w:cs="Arial"/>
          <w:color w:val="4D647C"/>
          <w:sz w:val="22"/>
          <w:szCs w:val="22"/>
        </w:rPr>
      </w:pPr>
      <w:r w:rsidRPr="00ED35AC">
        <w:rPr>
          <w:rFonts w:ascii="Arial" w:hAnsi="Arial" w:cs="Arial"/>
          <w:color w:val="4D647C"/>
          <w:sz w:val="22"/>
          <w:szCs w:val="22"/>
        </w:rPr>
        <w:t xml:space="preserve">Chart </w:t>
      </w:r>
      <w:r w:rsidRPr="00ED35AC">
        <w:rPr>
          <w:rFonts w:ascii="Arial" w:hAnsi="Arial" w:cs="Arial"/>
          <w:color w:val="4D647C"/>
          <w:sz w:val="22"/>
          <w:szCs w:val="22"/>
        </w:rPr>
        <w:fldChar w:fldCharType="begin"/>
      </w:r>
      <w:r w:rsidRPr="00ED35AC">
        <w:rPr>
          <w:rFonts w:ascii="Arial" w:hAnsi="Arial" w:cs="Arial"/>
          <w:color w:val="4D647C"/>
          <w:sz w:val="22"/>
          <w:szCs w:val="22"/>
        </w:rPr>
        <w:instrText xml:space="preserve"> SEQ Chart \* ARABIC </w:instrText>
      </w:r>
      <w:r w:rsidRPr="00ED35AC">
        <w:rPr>
          <w:rFonts w:ascii="Arial" w:hAnsi="Arial" w:cs="Arial"/>
          <w:color w:val="4D647C"/>
          <w:sz w:val="22"/>
          <w:szCs w:val="22"/>
        </w:rPr>
        <w:fldChar w:fldCharType="separate"/>
      </w:r>
      <w:r w:rsidRPr="00ED35AC">
        <w:rPr>
          <w:rFonts w:ascii="Arial" w:hAnsi="Arial" w:cs="Arial"/>
          <w:noProof/>
          <w:color w:val="4D647C"/>
          <w:sz w:val="22"/>
          <w:szCs w:val="22"/>
        </w:rPr>
        <w:t>12</w:t>
      </w:r>
      <w:r w:rsidRPr="00ED35AC">
        <w:rPr>
          <w:rFonts w:ascii="Arial" w:hAnsi="Arial" w:cs="Arial"/>
          <w:noProof/>
          <w:color w:val="4D647C"/>
          <w:sz w:val="22"/>
          <w:szCs w:val="22"/>
        </w:rPr>
        <w:fldChar w:fldCharType="end"/>
      </w:r>
    </w:p>
    <w:p w14:paraId="69CA0D47" w14:textId="77777777" w:rsidR="00A34A08" w:rsidRPr="00734B41" w:rsidRDefault="00A34A08" w:rsidP="00734B41">
      <w:pPr>
        <w:spacing w:before="0" w:after="0" w:line="288" w:lineRule="auto"/>
        <w:jc w:val="both"/>
        <w:rPr>
          <w:rFonts w:ascii="Arial" w:hAnsi="Arial" w:cs="Arial"/>
          <w:sz w:val="22"/>
          <w:szCs w:val="22"/>
        </w:rPr>
      </w:pPr>
    </w:p>
    <w:p w14:paraId="622D2056" w14:textId="442153D7" w:rsidR="00A34A08" w:rsidRPr="00ED35AC" w:rsidRDefault="00A34A08" w:rsidP="00DB6A0D">
      <w:pPr>
        <w:spacing w:before="0" w:after="0" w:line="288" w:lineRule="auto"/>
        <w:rPr>
          <w:rStyle w:val="IntenseEmphasis"/>
          <w:rFonts w:ascii="Arial" w:hAnsi="Arial" w:cs="Arial"/>
          <w:b w:val="0"/>
          <w:bCs w:val="0"/>
          <w:caps w:val="0"/>
          <w:color w:val="auto"/>
          <w:spacing w:val="0"/>
          <w:sz w:val="22"/>
          <w:szCs w:val="22"/>
        </w:rPr>
      </w:pPr>
      <w:r w:rsidRPr="00734B41">
        <w:rPr>
          <w:rFonts w:ascii="Arial" w:hAnsi="Arial" w:cs="Arial"/>
          <w:sz w:val="22"/>
          <w:szCs w:val="22"/>
        </w:rPr>
        <w:t>The trustee group and the advisor group follow a similar trend: A large majority of the trustee group identified as heterosexual and 100% of the advisor group also identified as straight.</w:t>
      </w:r>
    </w:p>
    <w:p w14:paraId="63BE5F04" w14:textId="77777777" w:rsidR="00D26BD3" w:rsidRPr="00734B41" w:rsidRDefault="00D26BD3" w:rsidP="00DB6A0D">
      <w:pPr>
        <w:spacing w:before="0" w:after="0" w:line="288" w:lineRule="auto"/>
        <w:rPr>
          <w:rStyle w:val="IntenseEmphasis"/>
          <w:rFonts w:ascii="Arial" w:hAnsi="Arial" w:cs="Arial"/>
          <w:sz w:val="22"/>
          <w:szCs w:val="22"/>
        </w:rPr>
      </w:pPr>
    </w:p>
    <w:p w14:paraId="5F836F41" w14:textId="4D9A417C" w:rsidR="0091572E" w:rsidRDefault="00FA6871" w:rsidP="00DB6A0D">
      <w:pPr>
        <w:spacing w:before="0" w:after="0" w:line="288" w:lineRule="auto"/>
        <w:rPr>
          <w:rStyle w:val="IntenseEmphasis"/>
          <w:rFonts w:ascii="Arial" w:hAnsi="Arial" w:cs="Arial"/>
          <w:caps w:val="0"/>
          <w:color w:val="4D647C"/>
          <w:sz w:val="22"/>
          <w:szCs w:val="22"/>
        </w:rPr>
      </w:pPr>
      <w:r w:rsidRPr="00ED35AC">
        <w:rPr>
          <w:rStyle w:val="IntenseEmphasis"/>
          <w:rFonts w:ascii="Arial" w:hAnsi="Arial" w:cs="Arial"/>
          <w:caps w:val="0"/>
          <w:color w:val="4D647C"/>
          <w:sz w:val="22"/>
          <w:szCs w:val="22"/>
        </w:rPr>
        <w:t>Religion</w:t>
      </w:r>
    </w:p>
    <w:p w14:paraId="31CF1ED8" w14:textId="77777777" w:rsidR="00ED35AC" w:rsidRPr="00ED35AC" w:rsidRDefault="00ED35AC" w:rsidP="00DB6A0D">
      <w:pPr>
        <w:spacing w:before="0" w:after="0" w:line="288" w:lineRule="auto"/>
        <w:rPr>
          <w:rStyle w:val="IntenseEmphasis"/>
          <w:rFonts w:ascii="Arial" w:hAnsi="Arial" w:cs="Arial"/>
          <w:color w:val="4D647C"/>
          <w:sz w:val="22"/>
          <w:szCs w:val="22"/>
        </w:rPr>
      </w:pPr>
    </w:p>
    <w:p w14:paraId="29DF4B7D" w14:textId="71DF146A" w:rsidR="00A34A08" w:rsidRDefault="00A34A08" w:rsidP="00DB6A0D">
      <w:pPr>
        <w:pStyle w:val="NoSpacing"/>
        <w:spacing w:before="0" w:line="288" w:lineRule="auto"/>
        <w:rPr>
          <w:rFonts w:ascii="Arial" w:hAnsi="Arial" w:cs="Arial"/>
          <w:sz w:val="22"/>
          <w:szCs w:val="22"/>
        </w:rPr>
      </w:pPr>
      <w:r w:rsidRPr="00734B41">
        <w:rPr>
          <w:rFonts w:ascii="Arial" w:hAnsi="Arial" w:cs="Arial"/>
          <w:sz w:val="22"/>
          <w:szCs w:val="22"/>
        </w:rPr>
        <w:t xml:space="preserve">The majority of employees identified as having no religion or belief according to 2022 results. Other faiths were represented in small numbers and have therefore been aggregated as shown in chart 13 with the respective 2021 data shown. </w:t>
      </w:r>
    </w:p>
    <w:p w14:paraId="161F1F72" w14:textId="77777777" w:rsidR="00ED35AC" w:rsidRPr="00734B41" w:rsidRDefault="00ED35AC" w:rsidP="00DB6A0D">
      <w:pPr>
        <w:pStyle w:val="NoSpacing"/>
        <w:spacing w:before="0" w:line="288" w:lineRule="auto"/>
        <w:rPr>
          <w:rFonts w:ascii="Arial" w:hAnsi="Arial" w:cs="Arial"/>
          <w:sz w:val="22"/>
          <w:szCs w:val="22"/>
        </w:rPr>
      </w:pPr>
    </w:p>
    <w:p w14:paraId="765FC7A9" w14:textId="77777777" w:rsidR="00A34A08" w:rsidRPr="00734B41" w:rsidRDefault="00A34A08" w:rsidP="00DB6A0D">
      <w:pPr>
        <w:pStyle w:val="NoSpacing"/>
        <w:spacing w:before="0" w:line="288" w:lineRule="auto"/>
        <w:rPr>
          <w:rFonts w:ascii="Arial" w:hAnsi="Arial" w:cs="Arial"/>
          <w:sz w:val="22"/>
          <w:szCs w:val="22"/>
        </w:rPr>
      </w:pPr>
      <w:r w:rsidRPr="00734B41">
        <w:rPr>
          <w:rFonts w:ascii="Arial" w:hAnsi="Arial" w:cs="Arial"/>
          <w:sz w:val="22"/>
          <w:szCs w:val="22"/>
        </w:rPr>
        <w:t>In 2021 we were able to separate Christian from this aggregated group and the 36% total was made up of 15% Christian and 21% the remaining religions. Note that No religion or belief is consistently the largest response (similarly in 2019 this was 66%).</w:t>
      </w:r>
    </w:p>
    <w:p w14:paraId="537B82A6" w14:textId="77777777" w:rsidR="00A34A08" w:rsidRPr="00734B41" w:rsidRDefault="00A34A08" w:rsidP="00734B41">
      <w:pPr>
        <w:pStyle w:val="NoSpacing"/>
        <w:spacing w:before="0" w:line="288" w:lineRule="auto"/>
        <w:jc w:val="both"/>
        <w:rPr>
          <w:rFonts w:ascii="Arial" w:hAnsi="Arial" w:cs="Arial"/>
          <w:sz w:val="22"/>
          <w:szCs w:val="22"/>
        </w:rPr>
      </w:pPr>
    </w:p>
    <w:p w14:paraId="4A8F7E87" w14:textId="77777777" w:rsidR="00A34A08" w:rsidRPr="00734B41" w:rsidRDefault="00A34A08" w:rsidP="00734B41">
      <w:pPr>
        <w:keepNext/>
        <w:spacing w:before="0" w:after="0" w:line="288" w:lineRule="auto"/>
        <w:jc w:val="center"/>
        <w:rPr>
          <w:rFonts w:ascii="Arial" w:hAnsi="Arial" w:cs="Arial"/>
          <w:noProof/>
          <w:sz w:val="22"/>
          <w:szCs w:val="22"/>
        </w:rPr>
      </w:pPr>
      <w:r w:rsidRPr="00734B41">
        <w:rPr>
          <w:rFonts w:ascii="Arial" w:hAnsi="Arial" w:cs="Arial"/>
          <w:noProof/>
          <w:sz w:val="22"/>
          <w:szCs w:val="22"/>
        </w:rPr>
        <w:lastRenderedPageBreak/>
        <w:drawing>
          <wp:inline distT="0" distB="0" distL="0" distR="0" wp14:anchorId="59777045" wp14:editId="5E211FA0">
            <wp:extent cx="4320000" cy="2520000"/>
            <wp:effectExtent l="0" t="0" r="4445" b="13970"/>
            <wp:docPr id="25" name="Chart 25">
              <a:extLst xmlns:a="http://schemas.openxmlformats.org/drawingml/2006/main">
                <a:ext uri="{FF2B5EF4-FFF2-40B4-BE49-F238E27FC236}">
                  <a16:creationId xmlns:a16="http://schemas.microsoft.com/office/drawing/2014/main" id="{8B91CBF4-17AE-5621-1E46-92292629AA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DF5D4BC" w14:textId="77777777" w:rsidR="00A34A08" w:rsidRPr="00ED35AC" w:rsidRDefault="00A34A08" w:rsidP="00734B41">
      <w:pPr>
        <w:pStyle w:val="Caption"/>
        <w:spacing w:before="0" w:after="0" w:line="288" w:lineRule="auto"/>
        <w:jc w:val="center"/>
        <w:rPr>
          <w:rFonts w:ascii="Arial" w:hAnsi="Arial" w:cs="Arial"/>
          <w:color w:val="4D647C"/>
          <w:sz w:val="22"/>
          <w:szCs w:val="22"/>
        </w:rPr>
      </w:pPr>
      <w:r w:rsidRPr="00ED35AC">
        <w:rPr>
          <w:rFonts w:ascii="Arial" w:hAnsi="Arial" w:cs="Arial"/>
          <w:color w:val="4D647C"/>
          <w:sz w:val="22"/>
          <w:szCs w:val="22"/>
        </w:rPr>
        <w:t xml:space="preserve">Chart </w:t>
      </w:r>
      <w:r w:rsidRPr="00ED35AC">
        <w:rPr>
          <w:rFonts w:ascii="Arial" w:hAnsi="Arial" w:cs="Arial"/>
          <w:color w:val="4D647C"/>
          <w:sz w:val="22"/>
          <w:szCs w:val="22"/>
        </w:rPr>
        <w:fldChar w:fldCharType="begin"/>
      </w:r>
      <w:r w:rsidRPr="00ED35AC">
        <w:rPr>
          <w:rFonts w:ascii="Arial" w:hAnsi="Arial" w:cs="Arial"/>
          <w:color w:val="4D647C"/>
          <w:sz w:val="22"/>
          <w:szCs w:val="22"/>
        </w:rPr>
        <w:instrText xml:space="preserve"> SEQ Chart \* ARABIC </w:instrText>
      </w:r>
      <w:r w:rsidRPr="00ED35AC">
        <w:rPr>
          <w:rFonts w:ascii="Arial" w:hAnsi="Arial" w:cs="Arial"/>
          <w:color w:val="4D647C"/>
          <w:sz w:val="22"/>
          <w:szCs w:val="22"/>
        </w:rPr>
        <w:fldChar w:fldCharType="separate"/>
      </w:r>
      <w:r w:rsidRPr="00ED35AC">
        <w:rPr>
          <w:rFonts w:ascii="Arial" w:hAnsi="Arial" w:cs="Arial"/>
          <w:noProof/>
          <w:color w:val="4D647C"/>
          <w:sz w:val="22"/>
          <w:szCs w:val="22"/>
        </w:rPr>
        <w:t>13</w:t>
      </w:r>
      <w:r w:rsidRPr="00ED35AC">
        <w:rPr>
          <w:rFonts w:ascii="Arial" w:hAnsi="Arial" w:cs="Arial"/>
          <w:noProof/>
          <w:color w:val="4D647C"/>
          <w:sz w:val="22"/>
          <w:szCs w:val="22"/>
        </w:rPr>
        <w:fldChar w:fldCharType="end"/>
      </w:r>
    </w:p>
    <w:p w14:paraId="5AEF2C60" w14:textId="77777777" w:rsidR="00A34A08" w:rsidRPr="00734B41" w:rsidRDefault="00A34A08" w:rsidP="00DB6A0D">
      <w:pPr>
        <w:spacing w:before="0" w:after="0" w:line="288" w:lineRule="auto"/>
        <w:rPr>
          <w:rFonts w:ascii="Arial" w:hAnsi="Arial" w:cs="Arial"/>
          <w:sz w:val="22"/>
          <w:szCs w:val="22"/>
        </w:rPr>
      </w:pPr>
    </w:p>
    <w:p w14:paraId="24865749" w14:textId="77777777" w:rsidR="00A34A08" w:rsidRPr="00734B41" w:rsidRDefault="00A34A08" w:rsidP="00DB6A0D">
      <w:pPr>
        <w:spacing w:before="0" w:after="0" w:line="288" w:lineRule="auto"/>
        <w:rPr>
          <w:rFonts w:ascii="Arial" w:hAnsi="Arial" w:cs="Arial"/>
          <w:sz w:val="22"/>
          <w:szCs w:val="22"/>
        </w:rPr>
      </w:pPr>
      <w:r w:rsidRPr="00734B41">
        <w:rPr>
          <w:rFonts w:ascii="Arial" w:hAnsi="Arial" w:cs="Arial"/>
          <w:sz w:val="22"/>
          <w:szCs w:val="22"/>
        </w:rPr>
        <w:t xml:space="preserve">Although more responses were received overall across the advisor group and trustee group, the results are too distributed across the answer options to be able to report on. However, 50% of the combined advisor and trustee group identified as having no religion or belief and 50% identified as one of the following: Christian, Hindu, Humanist (self-described) or Muslim. </w:t>
      </w:r>
    </w:p>
    <w:p w14:paraId="50CF6163" w14:textId="77777777" w:rsidR="00A34A08" w:rsidRPr="000E27C8" w:rsidRDefault="00A34A08" w:rsidP="00DB6A0D">
      <w:pPr>
        <w:spacing w:before="0" w:after="0" w:line="288" w:lineRule="auto"/>
        <w:rPr>
          <w:rFonts w:ascii="Arial" w:hAnsi="Arial" w:cs="Arial"/>
          <w:b/>
          <w:bCs/>
          <w:sz w:val="22"/>
          <w:szCs w:val="22"/>
        </w:rPr>
      </w:pPr>
    </w:p>
    <w:p w14:paraId="3ED7F2F3" w14:textId="09A3A1E8" w:rsidR="00A34A08" w:rsidRPr="000E27C8" w:rsidRDefault="000E27C8" w:rsidP="00DB6A0D">
      <w:pPr>
        <w:spacing w:before="0" w:after="0" w:line="288" w:lineRule="auto"/>
        <w:rPr>
          <w:rStyle w:val="IntenseEmphasis"/>
          <w:rFonts w:ascii="Arial" w:hAnsi="Arial" w:cs="Arial"/>
          <w:sz w:val="22"/>
          <w:szCs w:val="22"/>
        </w:rPr>
      </w:pPr>
      <w:r w:rsidRPr="000E27C8">
        <w:rPr>
          <w:rStyle w:val="IntenseEmphasis"/>
          <w:rFonts w:ascii="Arial" w:hAnsi="Arial" w:cs="Arial"/>
          <w:caps w:val="0"/>
          <w:sz w:val="22"/>
          <w:szCs w:val="22"/>
        </w:rPr>
        <w:t>Social mobility</w:t>
      </w:r>
    </w:p>
    <w:p w14:paraId="27836E46" w14:textId="77777777" w:rsidR="000E27C8" w:rsidRPr="00734B41" w:rsidRDefault="000E27C8" w:rsidP="00DB6A0D">
      <w:pPr>
        <w:spacing w:before="0" w:after="0" w:line="288" w:lineRule="auto"/>
        <w:rPr>
          <w:rStyle w:val="IntenseEmphasis"/>
          <w:rFonts w:ascii="Arial" w:hAnsi="Arial" w:cs="Arial"/>
          <w:sz w:val="22"/>
          <w:szCs w:val="22"/>
        </w:rPr>
      </w:pPr>
    </w:p>
    <w:p w14:paraId="7D9021E6" w14:textId="60C8D598" w:rsidR="00A34A08" w:rsidRDefault="00A34A08" w:rsidP="00DB6A0D">
      <w:pPr>
        <w:spacing w:before="0" w:after="0" w:line="288" w:lineRule="auto"/>
        <w:rPr>
          <w:rFonts w:ascii="Arial" w:hAnsi="Arial" w:cs="Arial"/>
          <w:sz w:val="22"/>
          <w:szCs w:val="22"/>
        </w:rPr>
      </w:pPr>
      <w:r w:rsidRPr="00734B41">
        <w:rPr>
          <w:rFonts w:ascii="Arial" w:hAnsi="Arial" w:cs="Arial"/>
          <w:sz w:val="22"/>
          <w:szCs w:val="22"/>
        </w:rPr>
        <w:t xml:space="preserve">In 2022, a question looking at social mobility was reintroduced to the diversity data survey. PHF have attempted to gather data in this area in previous years, but the questions asked were imperfect and we recognised there were issues around them. However, Social class is a relevant metric for PHF to consider and so in 2022 we looked to the  </w:t>
      </w:r>
      <w:hyperlink r:id="rId20" w:history="1">
        <w:r w:rsidRPr="00734B41">
          <w:rPr>
            <w:rStyle w:val="Hyperlink"/>
            <w:rFonts w:ascii="Arial" w:hAnsi="Arial" w:cs="Arial"/>
            <w:sz w:val="22"/>
            <w:szCs w:val="22"/>
          </w:rPr>
          <w:t xml:space="preserve">Social Mobility Commission </w:t>
        </w:r>
      </w:hyperlink>
      <w:r w:rsidRPr="00734B41">
        <w:rPr>
          <w:rFonts w:ascii="Arial" w:hAnsi="Arial" w:cs="Arial"/>
          <w:sz w:val="22"/>
          <w:szCs w:val="22"/>
        </w:rPr>
        <w:t xml:space="preserve">and specifically their online </w:t>
      </w:r>
      <w:hyperlink r:id="rId21" w:history="1">
        <w:r w:rsidRPr="00734B41">
          <w:rPr>
            <w:rStyle w:val="Hyperlink"/>
            <w:rFonts w:ascii="Arial" w:hAnsi="Arial" w:cs="Arial"/>
            <w:sz w:val="22"/>
            <w:szCs w:val="22"/>
          </w:rPr>
          <w:t>toolkit</w:t>
        </w:r>
      </w:hyperlink>
      <w:r w:rsidRPr="00734B41">
        <w:rPr>
          <w:rFonts w:ascii="Arial" w:hAnsi="Arial" w:cs="Arial"/>
          <w:sz w:val="22"/>
          <w:szCs w:val="22"/>
        </w:rPr>
        <w:t xml:space="preserve"> to inform the question used for this year’s survey. The social mobility question related to the occupation of the householder’s main earner when the respondent was about aged 14 and had nine broad answer options (Appendix A). </w:t>
      </w:r>
    </w:p>
    <w:p w14:paraId="13B701C3" w14:textId="77777777" w:rsidR="000E27C8" w:rsidRPr="00734B41" w:rsidRDefault="000E27C8" w:rsidP="00AE7B9E">
      <w:pPr>
        <w:spacing w:before="0" w:after="0" w:line="288" w:lineRule="auto"/>
        <w:rPr>
          <w:rFonts w:ascii="Arial" w:hAnsi="Arial" w:cs="Arial"/>
          <w:sz w:val="22"/>
          <w:szCs w:val="22"/>
        </w:rPr>
      </w:pPr>
    </w:p>
    <w:p w14:paraId="1D717BA7" w14:textId="49817BA5" w:rsidR="00A34A08" w:rsidRDefault="00A34A08" w:rsidP="00AE7B9E">
      <w:pPr>
        <w:spacing w:before="0" w:after="0" w:line="288" w:lineRule="auto"/>
        <w:rPr>
          <w:rFonts w:ascii="Arial" w:hAnsi="Arial" w:cs="Arial"/>
          <w:sz w:val="22"/>
          <w:szCs w:val="22"/>
        </w:rPr>
      </w:pPr>
      <w:r w:rsidRPr="00734B41">
        <w:rPr>
          <w:rFonts w:ascii="Arial" w:hAnsi="Arial" w:cs="Arial"/>
          <w:sz w:val="22"/>
          <w:szCs w:val="22"/>
        </w:rPr>
        <w:t xml:space="preserve">The table below shows the results. The quantity of answer options has resulted in a broad spread of results and therefore small response numbers per answer. The results were therefore combined to present the data and to do this we once again looked to the Social Mobility Commission for guidance on groupings. Guidance around reporting on this question can be found </w:t>
      </w:r>
      <w:hyperlink r:id="rId22" w:history="1">
        <w:r w:rsidRPr="00734B41">
          <w:rPr>
            <w:rStyle w:val="Hyperlink"/>
            <w:rFonts w:ascii="Arial" w:hAnsi="Arial" w:cs="Arial"/>
            <w:sz w:val="22"/>
            <w:szCs w:val="22"/>
          </w:rPr>
          <w:t>here</w:t>
        </w:r>
      </w:hyperlink>
      <w:r w:rsidRPr="00734B41">
        <w:rPr>
          <w:rFonts w:ascii="Arial" w:hAnsi="Arial" w:cs="Arial"/>
          <w:sz w:val="22"/>
          <w:szCs w:val="22"/>
        </w:rPr>
        <w:t>,  but for ease the answers were reduced to three categories. We recognise that that again this may be an imperfect solution, but it does mean that precise figures can be given for most categories which is arguably more useful. Any answer option with less than 4 respondents is quantified as ‘3 or fewer’. Once again, the advisor group and trustee group have been combined.</w:t>
      </w:r>
    </w:p>
    <w:p w14:paraId="07714B67" w14:textId="77777777" w:rsidR="00DB6A0D" w:rsidRPr="00734B41" w:rsidRDefault="00DB6A0D" w:rsidP="00AE7B9E">
      <w:pPr>
        <w:spacing w:before="0" w:after="0" w:line="288" w:lineRule="auto"/>
        <w:rPr>
          <w:rFonts w:ascii="Arial" w:hAnsi="Arial" w:cs="Arial"/>
          <w:sz w:val="22"/>
          <w:szCs w:val="22"/>
        </w:rPr>
      </w:pPr>
    </w:p>
    <w:p w14:paraId="25A17C54" w14:textId="6ECB4BA3" w:rsidR="00A34A08" w:rsidRDefault="00A34A08" w:rsidP="00AE7B9E">
      <w:pPr>
        <w:spacing w:before="0" w:after="0" w:line="288" w:lineRule="auto"/>
        <w:rPr>
          <w:rFonts w:ascii="Arial" w:hAnsi="Arial" w:cs="Arial"/>
          <w:sz w:val="22"/>
          <w:szCs w:val="22"/>
        </w:rPr>
      </w:pPr>
      <w:r w:rsidRPr="00734B41">
        <w:rPr>
          <w:rFonts w:ascii="Arial" w:hAnsi="Arial" w:cs="Arial"/>
          <w:sz w:val="22"/>
          <w:szCs w:val="22"/>
        </w:rPr>
        <w:t xml:space="preserve">Professional background or higher socio-economic backgrounds made up the largest response for both the employee group and the combined advisor and trustee group. Overall, the </w:t>
      </w:r>
      <w:r w:rsidRPr="00734B41">
        <w:rPr>
          <w:rFonts w:ascii="Arial" w:hAnsi="Arial" w:cs="Arial"/>
          <w:sz w:val="22"/>
          <w:szCs w:val="22"/>
        </w:rPr>
        <w:lastRenderedPageBreak/>
        <w:t xml:space="preserve">Employees had a broad representation across the nine answer options with at least one response to each. Responses from trustees were also broad and advisors were the least diverse in their responses.   </w:t>
      </w:r>
    </w:p>
    <w:p w14:paraId="08219618" w14:textId="77777777" w:rsidR="000E27C8" w:rsidRPr="00734B41" w:rsidRDefault="000E27C8" w:rsidP="00AE7B9E">
      <w:pPr>
        <w:spacing w:before="0" w:after="0" w:line="288" w:lineRule="auto"/>
        <w:rPr>
          <w:rFonts w:ascii="Arial" w:hAnsi="Arial" w:cs="Arial"/>
          <w:sz w:val="22"/>
          <w:szCs w:val="22"/>
        </w:rPr>
      </w:pPr>
    </w:p>
    <w:tbl>
      <w:tblPr>
        <w:tblStyle w:val="ListTable1Light-Accent3"/>
        <w:tblW w:w="0" w:type="auto"/>
        <w:tblLook w:val="04A0" w:firstRow="1" w:lastRow="0" w:firstColumn="1" w:lastColumn="0" w:noHBand="0" w:noVBand="1"/>
      </w:tblPr>
      <w:tblGrid>
        <w:gridCol w:w="4536"/>
        <w:gridCol w:w="1985"/>
        <w:gridCol w:w="2829"/>
      </w:tblGrid>
      <w:tr w:rsidR="00286AEF" w:rsidRPr="00286AEF" w14:paraId="7E354FEE" w14:textId="77777777" w:rsidTr="00286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vAlign w:val="center"/>
          </w:tcPr>
          <w:p w14:paraId="3F2B6102" w14:textId="77777777" w:rsidR="00A34A08" w:rsidRPr="00286AEF" w:rsidRDefault="00A34A08" w:rsidP="00286AEF">
            <w:pPr>
              <w:spacing w:before="0" w:line="288" w:lineRule="auto"/>
              <w:jc w:val="center"/>
              <w:rPr>
                <w:rFonts w:ascii="Arial" w:hAnsi="Arial" w:cs="Arial"/>
                <w:b w:val="0"/>
                <w:bCs w:val="0"/>
                <w:color w:val="4D647C"/>
                <w:sz w:val="24"/>
                <w:szCs w:val="24"/>
              </w:rPr>
            </w:pPr>
            <w:r w:rsidRPr="00286AEF">
              <w:rPr>
                <w:rFonts w:ascii="Arial" w:hAnsi="Arial" w:cs="Arial"/>
                <w:color w:val="4D647C"/>
                <w:sz w:val="24"/>
                <w:szCs w:val="24"/>
              </w:rPr>
              <w:t>Social Mobility: 2022</w:t>
            </w:r>
          </w:p>
        </w:tc>
      </w:tr>
      <w:tr w:rsidR="00286AEF" w:rsidRPr="00286AEF" w14:paraId="2EFD8467" w14:textId="77777777" w:rsidTr="00DB6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Align w:val="center"/>
          </w:tcPr>
          <w:p w14:paraId="5E48653B" w14:textId="77777777" w:rsidR="00A34A08" w:rsidRPr="00286AEF" w:rsidRDefault="00A34A08" w:rsidP="00286AEF">
            <w:pPr>
              <w:spacing w:before="0" w:line="288" w:lineRule="auto"/>
              <w:jc w:val="center"/>
              <w:rPr>
                <w:rStyle w:val="Strong"/>
                <w:rFonts w:ascii="Arial" w:hAnsi="Arial" w:cs="Arial"/>
                <w:color w:val="4D647C"/>
                <w:sz w:val="22"/>
                <w:szCs w:val="22"/>
              </w:rPr>
            </w:pPr>
          </w:p>
        </w:tc>
        <w:tc>
          <w:tcPr>
            <w:tcW w:w="1985" w:type="dxa"/>
            <w:vAlign w:val="center"/>
          </w:tcPr>
          <w:p w14:paraId="1A60675F" w14:textId="77777777" w:rsidR="00A34A08" w:rsidRPr="00286AEF" w:rsidRDefault="00A34A08" w:rsidP="00286AEF">
            <w:pPr>
              <w:spacing w:before="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4D647C"/>
                <w:sz w:val="22"/>
                <w:szCs w:val="22"/>
              </w:rPr>
            </w:pPr>
            <w:r w:rsidRPr="00286AEF">
              <w:rPr>
                <w:rFonts w:ascii="Arial" w:hAnsi="Arial" w:cs="Arial"/>
                <w:color w:val="4D647C"/>
                <w:sz w:val="22"/>
                <w:szCs w:val="22"/>
              </w:rPr>
              <w:t>Employees</w:t>
            </w:r>
          </w:p>
        </w:tc>
        <w:tc>
          <w:tcPr>
            <w:tcW w:w="2829" w:type="dxa"/>
            <w:vAlign w:val="center"/>
          </w:tcPr>
          <w:p w14:paraId="7F6A604E" w14:textId="77777777" w:rsidR="00A34A08" w:rsidRPr="00286AEF" w:rsidRDefault="00A34A08" w:rsidP="00286AEF">
            <w:pPr>
              <w:spacing w:before="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4D647C"/>
                <w:sz w:val="22"/>
                <w:szCs w:val="22"/>
              </w:rPr>
            </w:pPr>
            <w:r w:rsidRPr="00286AEF">
              <w:rPr>
                <w:rFonts w:ascii="Arial" w:hAnsi="Arial" w:cs="Arial"/>
                <w:color w:val="4D647C"/>
                <w:sz w:val="22"/>
                <w:szCs w:val="22"/>
              </w:rPr>
              <w:t>Combined advisor and trustee group</w:t>
            </w:r>
          </w:p>
        </w:tc>
      </w:tr>
      <w:tr w:rsidR="00286AEF" w:rsidRPr="00286AEF" w14:paraId="1A42DBCA" w14:textId="77777777" w:rsidTr="00DB6A0D">
        <w:trPr>
          <w:trHeight w:val="690"/>
        </w:trPr>
        <w:tc>
          <w:tcPr>
            <w:cnfStyle w:val="001000000000" w:firstRow="0" w:lastRow="0" w:firstColumn="1" w:lastColumn="0" w:oddVBand="0" w:evenVBand="0" w:oddHBand="0" w:evenHBand="0" w:firstRowFirstColumn="0" w:firstRowLastColumn="0" w:lastRowFirstColumn="0" w:lastRowLastColumn="0"/>
            <w:tcW w:w="4536" w:type="dxa"/>
            <w:vAlign w:val="center"/>
          </w:tcPr>
          <w:p w14:paraId="4ECD24D4" w14:textId="6900FF36" w:rsidR="00A34A08" w:rsidRPr="00286AEF" w:rsidRDefault="00A34A08" w:rsidP="00286AEF">
            <w:pPr>
              <w:spacing w:before="0" w:line="288" w:lineRule="auto"/>
              <w:jc w:val="center"/>
              <w:rPr>
                <w:rFonts w:ascii="Arial" w:hAnsi="Arial" w:cs="Arial"/>
                <w:color w:val="4D647C"/>
                <w:sz w:val="22"/>
                <w:szCs w:val="22"/>
              </w:rPr>
            </w:pPr>
            <w:r w:rsidRPr="00286AEF">
              <w:rPr>
                <w:rFonts w:ascii="Arial" w:hAnsi="Arial" w:cs="Arial"/>
                <w:color w:val="4D647C"/>
                <w:sz w:val="22"/>
                <w:szCs w:val="22"/>
              </w:rPr>
              <w:t>Professional background or higher socio-economic background</w:t>
            </w:r>
          </w:p>
        </w:tc>
        <w:tc>
          <w:tcPr>
            <w:tcW w:w="1985" w:type="dxa"/>
            <w:vAlign w:val="center"/>
          </w:tcPr>
          <w:p w14:paraId="2F0AC8CF" w14:textId="77777777" w:rsidR="00A34A08" w:rsidRPr="00286AEF" w:rsidRDefault="00A34A08" w:rsidP="00286AEF">
            <w:pPr>
              <w:spacing w:before="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4D647C"/>
                <w:sz w:val="22"/>
                <w:szCs w:val="22"/>
              </w:rPr>
            </w:pPr>
            <w:r w:rsidRPr="00286AEF">
              <w:rPr>
                <w:rFonts w:ascii="Arial" w:hAnsi="Arial" w:cs="Arial"/>
                <w:color w:val="4D647C"/>
                <w:sz w:val="22"/>
                <w:szCs w:val="22"/>
              </w:rPr>
              <w:t>24</w:t>
            </w:r>
          </w:p>
        </w:tc>
        <w:tc>
          <w:tcPr>
            <w:tcW w:w="2829" w:type="dxa"/>
            <w:vAlign w:val="center"/>
          </w:tcPr>
          <w:p w14:paraId="4BC68756" w14:textId="77777777" w:rsidR="00A34A08" w:rsidRPr="00286AEF" w:rsidRDefault="00A34A08" w:rsidP="00286AEF">
            <w:pPr>
              <w:spacing w:before="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4D647C"/>
                <w:sz w:val="22"/>
                <w:szCs w:val="22"/>
              </w:rPr>
            </w:pPr>
            <w:r w:rsidRPr="00286AEF">
              <w:rPr>
                <w:rFonts w:ascii="Arial" w:hAnsi="Arial" w:cs="Arial"/>
                <w:color w:val="4D647C"/>
                <w:sz w:val="22"/>
                <w:szCs w:val="22"/>
              </w:rPr>
              <w:t>12</w:t>
            </w:r>
          </w:p>
        </w:tc>
      </w:tr>
      <w:tr w:rsidR="00286AEF" w:rsidRPr="00286AEF" w14:paraId="43B75CE3" w14:textId="77777777" w:rsidTr="00DB6A0D">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4536" w:type="dxa"/>
            <w:vAlign w:val="center"/>
          </w:tcPr>
          <w:p w14:paraId="11F69D4B" w14:textId="77777777" w:rsidR="00A34A08" w:rsidRPr="00286AEF" w:rsidRDefault="00A34A08" w:rsidP="00286AEF">
            <w:pPr>
              <w:spacing w:before="0" w:line="288" w:lineRule="auto"/>
              <w:jc w:val="center"/>
              <w:rPr>
                <w:rFonts w:ascii="Arial" w:hAnsi="Arial" w:cs="Arial"/>
                <w:color w:val="4D647C"/>
                <w:sz w:val="22"/>
                <w:szCs w:val="22"/>
              </w:rPr>
            </w:pPr>
            <w:r w:rsidRPr="00286AEF">
              <w:rPr>
                <w:rFonts w:ascii="Arial" w:hAnsi="Arial" w:cs="Arial"/>
                <w:color w:val="4D647C"/>
                <w:sz w:val="22"/>
                <w:szCs w:val="22"/>
              </w:rPr>
              <w:t>Intermediate background</w:t>
            </w:r>
          </w:p>
        </w:tc>
        <w:tc>
          <w:tcPr>
            <w:tcW w:w="1985" w:type="dxa"/>
            <w:vAlign w:val="center"/>
          </w:tcPr>
          <w:p w14:paraId="3CFCEF9B" w14:textId="77777777" w:rsidR="00A34A08" w:rsidRPr="00286AEF" w:rsidRDefault="00A34A08" w:rsidP="00286AEF">
            <w:pPr>
              <w:spacing w:before="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4D647C"/>
                <w:sz w:val="22"/>
                <w:szCs w:val="22"/>
              </w:rPr>
            </w:pPr>
            <w:r w:rsidRPr="00286AEF">
              <w:rPr>
                <w:rFonts w:ascii="Arial" w:hAnsi="Arial" w:cs="Arial"/>
                <w:color w:val="4D647C"/>
                <w:sz w:val="22"/>
                <w:szCs w:val="22"/>
              </w:rPr>
              <w:t>4</w:t>
            </w:r>
          </w:p>
        </w:tc>
        <w:tc>
          <w:tcPr>
            <w:tcW w:w="2829" w:type="dxa"/>
            <w:vAlign w:val="center"/>
          </w:tcPr>
          <w:p w14:paraId="4E80F156" w14:textId="77777777" w:rsidR="00A34A08" w:rsidRPr="00286AEF" w:rsidRDefault="00A34A08" w:rsidP="00286AEF">
            <w:pPr>
              <w:spacing w:before="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4D647C"/>
                <w:sz w:val="22"/>
                <w:szCs w:val="22"/>
              </w:rPr>
            </w:pPr>
            <w:r w:rsidRPr="00286AEF">
              <w:rPr>
                <w:rFonts w:ascii="Arial" w:hAnsi="Arial" w:cs="Arial"/>
                <w:color w:val="4D647C"/>
                <w:sz w:val="22"/>
                <w:szCs w:val="22"/>
              </w:rPr>
              <w:t>5</w:t>
            </w:r>
          </w:p>
        </w:tc>
      </w:tr>
      <w:tr w:rsidR="00286AEF" w:rsidRPr="00286AEF" w14:paraId="6C996675" w14:textId="77777777" w:rsidTr="00DB6A0D">
        <w:trPr>
          <w:trHeight w:val="862"/>
        </w:trPr>
        <w:tc>
          <w:tcPr>
            <w:cnfStyle w:val="001000000000" w:firstRow="0" w:lastRow="0" w:firstColumn="1" w:lastColumn="0" w:oddVBand="0" w:evenVBand="0" w:oddHBand="0" w:evenHBand="0" w:firstRowFirstColumn="0" w:firstRowLastColumn="0" w:lastRowFirstColumn="0" w:lastRowLastColumn="0"/>
            <w:tcW w:w="4536" w:type="dxa"/>
            <w:vAlign w:val="center"/>
          </w:tcPr>
          <w:p w14:paraId="6C7358D6" w14:textId="77777777" w:rsidR="00A34A08" w:rsidRPr="00286AEF" w:rsidRDefault="00A34A08" w:rsidP="00286AEF">
            <w:pPr>
              <w:spacing w:before="0" w:line="288" w:lineRule="auto"/>
              <w:jc w:val="center"/>
              <w:rPr>
                <w:rFonts w:ascii="Arial" w:hAnsi="Arial" w:cs="Arial"/>
                <w:color w:val="4D647C"/>
                <w:sz w:val="22"/>
                <w:szCs w:val="22"/>
              </w:rPr>
            </w:pPr>
            <w:r w:rsidRPr="00286AEF">
              <w:rPr>
                <w:rFonts w:ascii="Arial" w:hAnsi="Arial" w:cs="Arial"/>
                <w:color w:val="4D647C"/>
                <w:sz w:val="22"/>
                <w:szCs w:val="22"/>
              </w:rPr>
              <w:t>Working class background or lower socio-economic background</w:t>
            </w:r>
          </w:p>
        </w:tc>
        <w:tc>
          <w:tcPr>
            <w:tcW w:w="1985" w:type="dxa"/>
            <w:vAlign w:val="center"/>
          </w:tcPr>
          <w:p w14:paraId="20240AEC" w14:textId="77777777" w:rsidR="00A34A08" w:rsidRPr="00286AEF" w:rsidRDefault="00A34A08" w:rsidP="00286AEF">
            <w:pPr>
              <w:spacing w:before="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4D647C"/>
                <w:sz w:val="22"/>
                <w:szCs w:val="22"/>
              </w:rPr>
            </w:pPr>
            <w:r w:rsidRPr="00286AEF">
              <w:rPr>
                <w:rFonts w:ascii="Arial" w:hAnsi="Arial" w:cs="Arial"/>
                <w:color w:val="4D647C"/>
                <w:sz w:val="22"/>
                <w:szCs w:val="22"/>
              </w:rPr>
              <w:t>8</w:t>
            </w:r>
          </w:p>
        </w:tc>
        <w:tc>
          <w:tcPr>
            <w:tcW w:w="2829" w:type="dxa"/>
            <w:vAlign w:val="center"/>
          </w:tcPr>
          <w:p w14:paraId="21C3B8E8" w14:textId="77777777" w:rsidR="00A34A08" w:rsidRPr="00286AEF" w:rsidRDefault="00A34A08" w:rsidP="00286AEF">
            <w:pPr>
              <w:spacing w:before="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4D647C"/>
                <w:sz w:val="22"/>
                <w:szCs w:val="22"/>
              </w:rPr>
            </w:pPr>
            <w:r w:rsidRPr="00286AEF">
              <w:rPr>
                <w:rFonts w:ascii="Arial" w:hAnsi="Arial" w:cs="Arial"/>
                <w:color w:val="4D647C"/>
                <w:sz w:val="22"/>
                <w:szCs w:val="22"/>
              </w:rPr>
              <w:t>3 or fewer</w:t>
            </w:r>
          </w:p>
        </w:tc>
      </w:tr>
    </w:tbl>
    <w:p w14:paraId="6722BB5E" w14:textId="30310184" w:rsidR="000E27C8" w:rsidRPr="000E27C8" w:rsidRDefault="000E27C8" w:rsidP="00DB6A0D">
      <w:pPr>
        <w:spacing w:before="0" w:after="0" w:line="288" w:lineRule="auto"/>
        <w:rPr>
          <w:rFonts w:ascii="Arial" w:hAnsi="Arial" w:cs="Arial"/>
          <w:b/>
          <w:bCs/>
          <w:caps/>
          <w:color w:val="4D647C"/>
          <w:spacing w:val="15"/>
          <w:sz w:val="22"/>
          <w:szCs w:val="22"/>
        </w:rPr>
      </w:pPr>
      <w:r w:rsidRPr="000E27C8">
        <w:rPr>
          <w:rFonts w:ascii="Arial" w:hAnsi="Arial" w:cs="Arial"/>
          <w:b/>
          <w:bCs/>
          <w:color w:val="4D647C"/>
          <w:spacing w:val="15"/>
          <w:sz w:val="22"/>
          <w:szCs w:val="22"/>
        </w:rPr>
        <w:t>Summary</w:t>
      </w:r>
    </w:p>
    <w:p w14:paraId="1B4FCD77" w14:textId="77777777" w:rsidR="000E27C8" w:rsidRDefault="000E27C8" w:rsidP="00DB6A0D">
      <w:pPr>
        <w:spacing w:before="0" w:after="0" w:line="288" w:lineRule="auto"/>
        <w:rPr>
          <w:rFonts w:ascii="Arial" w:hAnsi="Arial" w:cs="Arial"/>
          <w:caps/>
          <w:spacing w:val="15"/>
          <w:sz w:val="22"/>
          <w:szCs w:val="22"/>
        </w:rPr>
      </w:pPr>
    </w:p>
    <w:p w14:paraId="487ACCC7" w14:textId="3A7AFD2F" w:rsidR="00A34A08" w:rsidRPr="00734B41" w:rsidRDefault="00A34A08" w:rsidP="00DB6A0D">
      <w:pPr>
        <w:spacing w:before="0" w:after="0" w:line="288" w:lineRule="auto"/>
        <w:rPr>
          <w:rFonts w:ascii="Arial" w:hAnsi="Arial" w:cs="Arial"/>
          <w:sz w:val="22"/>
          <w:szCs w:val="22"/>
        </w:rPr>
      </w:pPr>
      <w:r w:rsidRPr="00734B41">
        <w:rPr>
          <w:rFonts w:ascii="Arial" w:hAnsi="Arial" w:cs="Arial"/>
          <w:sz w:val="22"/>
          <w:szCs w:val="22"/>
        </w:rPr>
        <w:t xml:space="preserve">The results of the 2022 survey have provided some insight into diversity at PHF. The usefulness of which is ever increased with each new set of data and as we start to see trends emerge.  </w:t>
      </w:r>
    </w:p>
    <w:p w14:paraId="2A0EC489" w14:textId="6313F606" w:rsidR="00A34A08" w:rsidRDefault="00A34A08" w:rsidP="00DB6A0D">
      <w:pPr>
        <w:spacing w:before="0" w:after="0" w:line="288" w:lineRule="auto"/>
        <w:rPr>
          <w:rFonts w:ascii="Arial" w:hAnsi="Arial" w:cs="Arial"/>
          <w:sz w:val="22"/>
          <w:szCs w:val="22"/>
        </w:rPr>
      </w:pPr>
      <w:r w:rsidRPr="00734B41">
        <w:rPr>
          <w:rFonts w:ascii="Arial" w:hAnsi="Arial" w:cs="Arial"/>
          <w:sz w:val="22"/>
          <w:szCs w:val="22"/>
        </w:rPr>
        <w:t>Participation is and will remain optional. This is important to us, and we recognise there may be many reasons for and against taking part. However, a high participation rate does lead to more useful data which can then be shared more widely, and so our appreciation goes out to those who chose to take part.</w:t>
      </w:r>
    </w:p>
    <w:p w14:paraId="0FD2328D" w14:textId="77777777" w:rsidR="000E27C8" w:rsidRPr="00734B41" w:rsidRDefault="000E27C8" w:rsidP="00DB6A0D">
      <w:pPr>
        <w:spacing w:before="0" w:after="0" w:line="288" w:lineRule="auto"/>
        <w:rPr>
          <w:rFonts w:ascii="Arial" w:hAnsi="Arial" w:cs="Arial"/>
          <w:sz w:val="22"/>
          <w:szCs w:val="22"/>
        </w:rPr>
      </w:pPr>
    </w:p>
    <w:p w14:paraId="1396983C" w14:textId="77777777" w:rsidR="00A34A08" w:rsidRPr="00734B41" w:rsidRDefault="00A34A08" w:rsidP="00DB6A0D">
      <w:pPr>
        <w:spacing w:before="0" w:after="0" w:line="288" w:lineRule="auto"/>
        <w:rPr>
          <w:rFonts w:ascii="Arial" w:hAnsi="Arial" w:cs="Arial"/>
          <w:sz w:val="22"/>
          <w:szCs w:val="22"/>
        </w:rPr>
      </w:pPr>
      <w:r w:rsidRPr="00734B41">
        <w:rPr>
          <w:rFonts w:ascii="Arial" w:hAnsi="Arial" w:cs="Arial"/>
          <w:sz w:val="22"/>
          <w:szCs w:val="22"/>
        </w:rPr>
        <w:t xml:space="preserve">We feel the results do show a staff group which is generally increasing in its diversity in several areas with some progress of note in ethnicity, disability, and sexual orientation. We recognise that there is still work to do and hope that with increased data, building year-on-year, we can build on this insight to continue to inform our thinking, our practices and decision making. </w:t>
      </w:r>
    </w:p>
    <w:p w14:paraId="135AEED2" w14:textId="77777777" w:rsidR="00A34A08" w:rsidRPr="00734B41" w:rsidRDefault="00A34A08" w:rsidP="00AE7B9E">
      <w:pPr>
        <w:spacing w:before="0" w:after="0" w:line="288" w:lineRule="auto"/>
        <w:rPr>
          <w:rFonts w:ascii="Arial" w:hAnsi="Arial" w:cs="Arial"/>
          <w:sz w:val="22"/>
          <w:szCs w:val="22"/>
        </w:rPr>
      </w:pPr>
    </w:p>
    <w:p w14:paraId="7002FEBE" w14:textId="4E889141" w:rsidR="00A34A08" w:rsidRPr="00734B41" w:rsidRDefault="00A34A08" w:rsidP="00AE7B9E">
      <w:pPr>
        <w:spacing w:before="0" w:after="0" w:line="288" w:lineRule="auto"/>
        <w:rPr>
          <w:rFonts w:ascii="Arial" w:hAnsi="Arial" w:cs="Arial"/>
          <w:sz w:val="22"/>
          <w:szCs w:val="22"/>
        </w:rPr>
      </w:pPr>
      <w:r w:rsidRPr="00734B41">
        <w:rPr>
          <w:rFonts w:ascii="Arial" w:hAnsi="Arial" w:cs="Arial"/>
          <w:sz w:val="22"/>
          <w:szCs w:val="22"/>
        </w:rPr>
        <w:br w:type="page"/>
      </w:r>
    </w:p>
    <w:p w14:paraId="3DF3A8F9" w14:textId="0DEA140E" w:rsidR="00A34A08" w:rsidRPr="000E27C8" w:rsidRDefault="00A34A08" w:rsidP="00AE7B9E">
      <w:pPr>
        <w:spacing w:before="0" w:after="0" w:line="288" w:lineRule="auto"/>
        <w:rPr>
          <w:rFonts w:ascii="Arial" w:hAnsi="Arial" w:cs="Arial"/>
          <w:b/>
          <w:bCs/>
          <w:color w:val="4D647C"/>
          <w:sz w:val="22"/>
          <w:szCs w:val="22"/>
        </w:rPr>
      </w:pPr>
      <w:r w:rsidRPr="000E27C8">
        <w:rPr>
          <w:rFonts w:ascii="Arial" w:hAnsi="Arial" w:cs="Arial"/>
          <w:b/>
          <w:bCs/>
          <w:color w:val="4D647C"/>
          <w:sz w:val="22"/>
          <w:szCs w:val="22"/>
        </w:rPr>
        <w:lastRenderedPageBreak/>
        <w:t>Appendix A.</w:t>
      </w:r>
    </w:p>
    <w:p w14:paraId="681025D7" w14:textId="77777777" w:rsidR="000E27C8" w:rsidRPr="00734B41" w:rsidRDefault="000E27C8" w:rsidP="00AE7B9E">
      <w:pPr>
        <w:spacing w:before="0" w:after="0" w:line="288" w:lineRule="auto"/>
        <w:rPr>
          <w:rFonts w:ascii="Arial" w:hAnsi="Arial" w:cs="Arial"/>
          <w:b/>
          <w:bCs/>
          <w:sz w:val="22"/>
          <w:szCs w:val="22"/>
        </w:rPr>
      </w:pPr>
    </w:p>
    <w:p w14:paraId="47A62C4D" w14:textId="77777777" w:rsidR="00A34A08" w:rsidRPr="00734B41" w:rsidRDefault="00A34A08" w:rsidP="00AE7B9E">
      <w:pPr>
        <w:spacing w:before="0" w:after="0" w:line="288" w:lineRule="auto"/>
        <w:rPr>
          <w:rFonts w:ascii="Arial" w:hAnsi="Arial" w:cs="Arial"/>
          <w:sz w:val="22"/>
          <w:szCs w:val="22"/>
        </w:rPr>
      </w:pPr>
      <w:r w:rsidRPr="00734B41">
        <w:rPr>
          <w:rFonts w:ascii="Arial" w:hAnsi="Arial" w:cs="Arial"/>
          <w:sz w:val="22"/>
          <w:szCs w:val="22"/>
        </w:rPr>
        <w:t xml:space="preserve">Q. 13  </w:t>
      </w:r>
    </w:p>
    <w:p w14:paraId="4CFE69A0" w14:textId="664BB74C" w:rsidR="00A34A08" w:rsidRDefault="00A34A08" w:rsidP="00AE7B9E">
      <w:pPr>
        <w:spacing w:before="0" w:after="0" w:line="288" w:lineRule="auto"/>
        <w:rPr>
          <w:rFonts w:ascii="Arial" w:hAnsi="Arial" w:cs="Arial"/>
          <w:sz w:val="22"/>
          <w:szCs w:val="22"/>
        </w:rPr>
      </w:pPr>
      <w:r w:rsidRPr="00734B41">
        <w:rPr>
          <w:rFonts w:ascii="Arial" w:hAnsi="Arial" w:cs="Arial"/>
          <w:sz w:val="22"/>
          <w:szCs w:val="22"/>
        </w:rPr>
        <w:t>What was the occupation of your main household earner when you were about aged 14?</w:t>
      </w:r>
    </w:p>
    <w:p w14:paraId="01C3C20B" w14:textId="77777777" w:rsidR="00286AEF" w:rsidRPr="00734B41" w:rsidRDefault="00286AEF" w:rsidP="00AE7B9E">
      <w:pPr>
        <w:spacing w:before="0" w:after="0" w:line="288"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A34A08" w:rsidRPr="00734B41" w14:paraId="108286DE" w14:textId="77777777" w:rsidTr="006F2DDF">
        <w:tc>
          <w:tcPr>
            <w:tcW w:w="9350" w:type="dxa"/>
          </w:tcPr>
          <w:p w14:paraId="57270F4B" w14:textId="77777777" w:rsidR="00A34A08" w:rsidRPr="00734B41" w:rsidRDefault="00A34A08" w:rsidP="00AE7B9E">
            <w:pPr>
              <w:spacing w:line="288" w:lineRule="auto"/>
              <w:rPr>
                <w:rFonts w:ascii="Arial" w:hAnsi="Arial" w:cs="Arial"/>
                <w:sz w:val="22"/>
                <w:szCs w:val="22"/>
              </w:rPr>
            </w:pPr>
            <w:r w:rsidRPr="00734B41">
              <w:rPr>
                <w:rStyle w:val="Strong"/>
                <w:rFonts w:ascii="Arial" w:hAnsi="Arial" w:cs="Arial"/>
                <w:sz w:val="22"/>
                <w:szCs w:val="22"/>
              </w:rPr>
              <w:t>Modern professional &amp; traditional professional occupations </w:t>
            </w:r>
            <w:r w:rsidRPr="00734B41">
              <w:rPr>
                <w:rFonts w:ascii="Arial" w:hAnsi="Arial" w:cs="Arial"/>
                <w:sz w:val="22"/>
                <w:szCs w:val="22"/>
              </w:rPr>
              <w:t>such as: teacher, nurse, physiotherapist, social worker, musician, police officer (sergeant or above), software designer, accountant, solicitor, medical practitioner, scientist, civil / mechanical engineer.</w:t>
            </w:r>
          </w:p>
        </w:tc>
      </w:tr>
      <w:tr w:rsidR="00A34A08" w:rsidRPr="00734B41" w14:paraId="1ADB6CDA" w14:textId="77777777" w:rsidTr="006F2DDF">
        <w:tc>
          <w:tcPr>
            <w:tcW w:w="9350" w:type="dxa"/>
          </w:tcPr>
          <w:p w14:paraId="7A7CA539" w14:textId="77777777" w:rsidR="00A34A08" w:rsidRPr="00734B41" w:rsidRDefault="00A34A08" w:rsidP="00AE7B9E">
            <w:pPr>
              <w:spacing w:line="288" w:lineRule="auto"/>
              <w:rPr>
                <w:rFonts w:ascii="Arial" w:hAnsi="Arial" w:cs="Arial"/>
                <w:sz w:val="22"/>
                <w:szCs w:val="22"/>
              </w:rPr>
            </w:pPr>
            <w:r w:rsidRPr="00734B41">
              <w:rPr>
                <w:rStyle w:val="Strong"/>
                <w:rFonts w:ascii="Arial" w:hAnsi="Arial" w:cs="Arial"/>
                <w:sz w:val="22"/>
                <w:szCs w:val="22"/>
              </w:rPr>
              <w:t>Senior, middle or junior managers or administrators</w:t>
            </w:r>
            <w:r w:rsidRPr="00734B41">
              <w:rPr>
                <w:rFonts w:ascii="Arial" w:hAnsi="Arial" w:cs="Arial"/>
                <w:sz w:val="22"/>
                <w:szCs w:val="22"/>
              </w:rPr>
              <w:t> such as: finance manager, chief executive, large business owner, office manager, retail manager, bank manager, restaurant manager, warehouse manager.</w:t>
            </w:r>
          </w:p>
        </w:tc>
      </w:tr>
      <w:tr w:rsidR="00A34A08" w:rsidRPr="00734B41" w14:paraId="61377788" w14:textId="77777777" w:rsidTr="006F2DDF">
        <w:tc>
          <w:tcPr>
            <w:tcW w:w="9350" w:type="dxa"/>
          </w:tcPr>
          <w:p w14:paraId="6EEBA575" w14:textId="77777777" w:rsidR="00A34A08" w:rsidRPr="00734B41" w:rsidRDefault="00A34A08" w:rsidP="00AE7B9E">
            <w:pPr>
              <w:spacing w:line="288" w:lineRule="auto"/>
              <w:rPr>
                <w:rFonts w:ascii="Arial" w:hAnsi="Arial" w:cs="Arial"/>
                <w:sz w:val="22"/>
                <w:szCs w:val="22"/>
              </w:rPr>
            </w:pPr>
            <w:r w:rsidRPr="00734B41">
              <w:rPr>
                <w:rStyle w:val="Strong"/>
                <w:rFonts w:ascii="Arial" w:hAnsi="Arial" w:cs="Arial"/>
                <w:sz w:val="22"/>
                <w:szCs w:val="22"/>
              </w:rPr>
              <w:t>Clerical and intermediate occupations</w:t>
            </w:r>
            <w:r w:rsidRPr="00734B41">
              <w:rPr>
                <w:rFonts w:ascii="Arial" w:hAnsi="Arial" w:cs="Arial"/>
                <w:sz w:val="22"/>
                <w:szCs w:val="22"/>
              </w:rPr>
              <w:t> such as: secretary, personal assistant, call centre agent, clerical worker, nursery nurse</w:t>
            </w:r>
          </w:p>
        </w:tc>
      </w:tr>
      <w:tr w:rsidR="00A34A08" w:rsidRPr="00734B41" w14:paraId="78547DE5" w14:textId="77777777" w:rsidTr="006F2DDF">
        <w:tc>
          <w:tcPr>
            <w:tcW w:w="9350" w:type="dxa"/>
          </w:tcPr>
          <w:p w14:paraId="27F18A54" w14:textId="77777777" w:rsidR="00A34A08" w:rsidRPr="00734B41" w:rsidRDefault="00A34A08" w:rsidP="00AE7B9E">
            <w:pPr>
              <w:spacing w:line="288" w:lineRule="auto"/>
              <w:rPr>
                <w:rFonts w:ascii="Arial" w:hAnsi="Arial" w:cs="Arial"/>
                <w:sz w:val="22"/>
                <w:szCs w:val="22"/>
              </w:rPr>
            </w:pPr>
            <w:r w:rsidRPr="00734B41">
              <w:rPr>
                <w:rStyle w:val="Strong"/>
                <w:rFonts w:ascii="Arial" w:hAnsi="Arial" w:cs="Arial"/>
                <w:sz w:val="22"/>
                <w:szCs w:val="22"/>
              </w:rPr>
              <w:t>Technical and craft occupations</w:t>
            </w:r>
            <w:r w:rsidRPr="00734B41">
              <w:rPr>
                <w:rFonts w:ascii="Arial" w:hAnsi="Arial" w:cs="Arial"/>
                <w:sz w:val="22"/>
                <w:szCs w:val="22"/>
              </w:rPr>
              <w:t> such as: motor mechanic, plumber, printer, electrician, gardener, train driver</w:t>
            </w:r>
          </w:p>
        </w:tc>
      </w:tr>
      <w:tr w:rsidR="00A34A08" w:rsidRPr="00734B41" w14:paraId="2016B940" w14:textId="77777777" w:rsidTr="006F2DDF">
        <w:tc>
          <w:tcPr>
            <w:tcW w:w="9350" w:type="dxa"/>
          </w:tcPr>
          <w:p w14:paraId="5C6EC209" w14:textId="77777777" w:rsidR="00A34A08" w:rsidRPr="00734B41" w:rsidRDefault="00A34A08" w:rsidP="00AE7B9E">
            <w:pPr>
              <w:spacing w:line="288" w:lineRule="auto"/>
              <w:rPr>
                <w:rFonts w:ascii="Arial" w:hAnsi="Arial" w:cs="Arial"/>
                <w:sz w:val="22"/>
                <w:szCs w:val="22"/>
              </w:rPr>
            </w:pPr>
            <w:r w:rsidRPr="00734B41">
              <w:rPr>
                <w:rStyle w:val="Strong"/>
                <w:rFonts w:ascii="Arial" w:hAnsi="Arial" w:cs="Arial"/>
                <w:sz w:val="22"/>
                <w:szCs w:val="22"/>
              </w:rPr>
              <w:t>Routine, semi-routine manual and service occupations</w:t>
            </w:r>
            <w:r w:rsidRPr="00734B41">
              <w:rPr>
                <w:rFonts w:ascii="Arial" w:hAnsi="Arial" w:cs="Arial"/>
                <w:sz w:val="22"/>
                <w:szCs w:val="22"/>
              </w:rPr>
              <w:t> such as: postal worker, machine operative, security guard, caretaker, farm worker, catering assistant, sales assistant, HGV driver, cleaner, porter, packer, labourer, waiter/waitress, bar staff</w:t>
            </w:r>
          </w:p>
        </w:tc>
      </w:tr>
      <w:tr w:rsidR="00A34A08" w:rsidRPr="00734B41" w14:paraId="41E32625" w14:textId="77777777" w:rsidTr="006F2DDF">
        <w:tc>
          <w:tcPr>
            <w:tcW w:w="9350" w:type="dxa"/>
          </w:tcPr>
          <w:p w14:paraId="22CD87E5" w14:textId="77777777" w:rsidR="00A34A08" w:rsidRPr="00734B41" w:rsidRDefault="00A34A08" w:rsidP="00AE7B9E">
            <w:pPr>
              <w:spacing w:line="288" w:lineRule="auto"/>
              <w:rPr>
                <w:rFonts w:ascii="Arial" w:hAnsi="Arial" w:cs="Arial"/>
                <w:sz w:val="22"/>
                <w:szCs w:val="22"/>
              </w:rPr>
            </w:pPr>
            <w:r w:rsidRPr="00734B41">
              <w:rPr>
                <w:rStyle w:val="Strong"/>
                <w:rFonts w:ascii="Arial" w:hAnsi="Arial" w:cs="Arial"/>
                <w:sz w:val="22"/>
                <w:szCs w:val="22"/>
              </w:rPr>
              <w:t>Long-term unemployed</w:t>
            </w:r>
            <w:r w:rsidRPr="00734B41">
              <w:rPr>
                <w:rFonts w:ascii="Arial" w:hAnsi="Arial" w:cs="Arial"/>
                <w:sz w:val="22"/>
                <w:szCs w:val="22"/>
              </w:rPr>
              <w:t> (claimed Jobseeker’s Allowance or earlier unemployment benefit for more than a year)</w:t>
            </w:r>
          </w:p>
        </w:tc>
      </w:tr>
      <w:tr w:rsidR="00A34A08" w:rsidRPr="00734B41" w14:paraId="75C63055" w14:textId="77777777" w:rsidTr="006F2DDF">
        <w:tc>
          <w:tcPr>
            <w:tcW w:w="9350" w:type="dxa"/>
          </w:tcPr>
          <w:p w14:paraId="423B3DFF" w14:textId="77777777" w:rsidR="00A34A08" w:rsidRPr="00734B41" w:rsidRDefault="00A34A08" w:rsidP="00AE7B9E">
            <w:pPr>
              <w:spacing w:line="288" w:lineRule="auto"/>
              <w:rPr>
                <w:rFonts w:ascii="Arial" w:hAnsi="Arial" w:cs="Arial"/>
                <w:sz w:val="22"/>
                <w:szCs w:val="22"/>
              </w:rPr>
            </w:pPr>
            <w:r w:rsidRPr="00734B41">
              <w:rPr>
                <w:rStyle w:val="Strong"/>
                <w:rFonts w:ascii="Arial" w:hAnsi="Arial" w:cs="Arial"/>
                <w:sz w:val="22"/>
                <w:szCs w:val="22"/>
              </w:rPr>
              <w:t>Small business owners</w:t>
            </w:r>
            <w:r w:rsidRPr="00734B41">
              <w:rPr>
                <w:rFonts w:ascii="Arial" w:hAnsi="Arial" w:cs="Arial"/>
                <w:sz w:val="22"/>
                <w:szCs w:val="22"/>
              </w:rPr>
              <w:t> who employed less than 25 people such as: corner shop owners, small plumbing companies, retail shop owner, single restaurant or cafe owner, taxi owner, garage owner</w:t>
            </w:r>
          </w:p>
        </w:tc>
      </w:tr>
      <w:tr w:rsidR="00A34A08" w:rsidRPr="00734B41" w14:paraId="5D5E4900" w14:textId="77777777" w:rsidTr="006F2DDF">
        <w:tc>
          <w:tcPr>
            <w:tcW w:w="9350" w:type="dxa"/>
          </w:tcPr>
          <w:p w14:paraId="4F391EC5" w14:textId="77777777" w:rsidR="00A34A08" w:rsidRPr="00734B41" w:rsidRDefault="00A34A08" w:rsidP="00AE7B9E">
            <w:pPr>
              <w:spacing w:line="288" w:lineRule="auto"/>
              <w:rPr>
                <w:rFonts w:ascii="Arial" w:hAnsi="Arial" w:cs="Arial"/>
                <w:sz w:val="22"/>
                <w:szCs w:val="22"/>
              </w:rPr>
            </w:pPr>
            <w:r w:rsidRPr="00734B41">
              <w:rPr>
                <w:rStyle w:val="Strong"/>
                <w:rFonts w:ascii="Arial" w:hAnsi="Arial" w:cs="Arial"/>
                <w:sz w:val="22"/>
                <w:szCs w:val="22"/>
              </w:rPr>
              <w:t>Other</w:t>
            </w:r>
            <w:r w:rsidRPr="00734B41">
              <w:rPr>
                <w:rFonts w:ascii="Arial" w:hAnsi="Arial" w:cs="Arial"/>
                <w:sz w:val="22"/>
                <w:szCs w:val="22"/>
              </w:rPr>
              <w:t> such as: retired, this question does not apply to me, I don’t know</w:t>
            </w:r>
          </w:p>
        </w:tc>
      </w:tr>
      <w:tr w:rsidR="00A34A08" w:rsidRPr="00734B41" w14:paraId="3BE2AE48" w14:textId="77777777" w:rsidTr="006F2DDF">
        <w:tc>
          <w:tcPr>
            <w:tcW w:w="9350" w:type="dxa"/>
          </w:tcPr>
          <w:p w14:paraId="05237240" w14:textId="77777777" w:rsidR="00A34A08" w:rsidRPr="00734B41" w:rsidRDefault="00A34A08" w:rsidP="00AE7B9E">
            <w:pPr>
              <w:spacing w:line="288" w:lineRule="auto"/>
              <w:rPr>
                <w:rFonts w:ascii="Arial" w:hAnsi="Arial" w:cs="Arial"/>
                <w:sz w:val="22"/>
                <w:szCs w:val="22"/>
              </w:rPr>
            </w:pPr>
            <w:r w:rsidRPr="00734B41">
              <w:rPr>
                <w:rStyle w:val="Strong"/>
                <w:rFonts w:ascii="Arial" w:hAnsi="Arial" w:cs="Arial"/>
                <w:sz w:val="22"/>
                <w:szCs w:val="22"/>
              </w:rPr>
              <w:t>I prefer not to say</w:t>
            </w:r>
          </w:p>
        </w:tc>
      </w:tr>
    </w:tbl>
    <w:p w14:paraId="0244E05E" w14:textId="77777777" w:rsidR="00A34A08" w:rsidRPr="00734B41" w:rsidRDefault="00A34A08" w:rsidP="00AE7B9E">
      <w:pPr>
        <w:spacing w:before="0" w:after="0" w:line="288" w:lineRule="auto"/>
        <w:rPr>
          <w:rFonts w:ascii="Arial" w:hAnsi="Arial" w:cs="Arial"/>
          <w:sz w:val="22"/>
          <w:szCs w:val="22"/>
        </w:rPr>
      </w:pPr>
    </w:p>
    <w:p w14:paraId="27603251" w14:textId="77777777" w:rsidR="00A34A08" w:rsidRPr="00734B41" w:rsidRDefault="00A34A08" w:rsidP="00AE7B9E">
      <w:pPr>
        <w:spacing w:before="0" w:after="0" w:line="288" w:lineRule="auto"/>
        <w:rPr>
          <w:rFonts w:ascii="Arial" w:hAnsi="Arial" w:cs="Arial"/>
          <w:sz w:val="22"/>
          <w:szCs w:val="22"/>
        </w:rPr>
      </w:pPr>
    </w:p>
    <w:p w14:paraId="307721CC" w14:textId="77777777" w:rsidR="00A34A08" w:rsidRPr="00734B41" w:rsidRDefault="00A34A08" w:rsidP="00AE7B9E">
      <w:pPr>
        <w:spacing w:before="0" w:after="0" w:line="288" w:lineRule="auto"/>
        <w:rPr>
          <w:rFonts w:ascii="Arial" w:hAnsi="Arial" w:cs="Arial"/>
          <w:sz w:val="22"/>
          <w:szCs w:val="22"/>
        </w:rPr>
      </w:pPr>
    </w:p>
    <w:p w14:paraId="65586DD1" w14:textId="77777777" w:rsidR="00A34A08" w:rsidRPr="00734B41" w:rsidRDefault="00A34A08" w:rsidP="00AE7B9E">
      <w:pPr>
        <w:spacing w:before="0" w:after="0" w:line="288" w:lineRule="auto"/>
        <w:rPr>
          <w:rFonts w:ascii="Arial" w:hAnsi="Arial" w:cs="Arial"/>
          <w:sz w:val="22"/>
          <w:szCs w:val="22"/>
        </w:rPr>
      </w:pPr>
    </w:p>
    <w:p w14:paraId="0C79DB8C" w14:textId="77777777" w:rsidR="00A34A08" w:rsidRPr="00734B41" w:rsidRDefault="00A34A08" w:rsidP="00AE7B9E">
      <w:pPr>
        <w:spacing w:before="0" w:after="0" w:line="288" w:lineRule="auto"/>
        <w:rPr>
          <w:rFonts w:ascii="Arial" w:hAnsi="Arial" w:cs="Arial"/>
          <w:sz w:val="22"/>
          <w:szCs w:val="22"/>
        </w:rPr>
      </w:pPr>
    </w:p>
    <w:p w14:paraId="39E83D90" w14:textId="77777777" w:rsidR="00A34A08" w:rsidRPr="00734B41" w:rsidRDefault="00A34A08" w:rsidP="00AE7B9E">
      <w:pPr>
        <w:spacing w:before="0" w:after="0" w:line="288" w:lineRule="auto"/>
        <w:rPr>
          <w:rFonts w:ascii="Arial" w:hAnsi="Arial" w:cs="Arial"/>
          <w:sz w:val="22"/>
          <w:szCs w:val="22"/>
        </w:rPr>
      </w:pPr>
    </w:p>
    <w:p w14:paraId="1D8E7D87" w14:textId="77777777" w:rsidR="00A34A08" w:rsidRPr="00734B41" w:rsidRDefault="00A34A08" w:rsidP="00AE7B9E">
      <w:pPr>
        <w:spacing w:before="0" w:after="0" w:line="288" w:lineRule="auto"/>
        <w:rPr>
          <w:rFonts w:ascii="Arial" w:hAnsi="Arial" w:cs="Arial"/>
          <w:sz w:val="22"/>
          <w:szCs w:val="22"/>
        </w:rPr>
      </w:pPr>
    </w:p>
    <w:p w14:paraId="7E727111" w14:textId="77777777" w:rsidR="00A34A08" w:rsidRPr="00734B41" w:rsidRDefault="00A34A08" w:rsidP="00AE7B9E">
      <w:pPr>
        <w:spacing w:before="0" w:after="0" w:line="288" w:lineRule="auto"/>
        <w:rPr>
          <w:rFonts w:ascii="Arial" w:hAnsi="Arial" w:cs="Arial"/>
          <w:sz w:val="22"/>
          <w:szCs w:val="22"/>
        </w:rPr>
      </w:pPr>
    </w:p>
    <w:p w14:paraId="07688EE4" w14:textId="77777777" w:rsidR="00A34A08" w:rsidRPr="00734B41" w:rsidRDefault="00A34A08" w:rsidP="00AE7B9E">
      <w:pPr>
        <w:spacing w:before="0" w:after="0" w:line="288" w:lineRule="auto"/>
        <w:rPr>
          <w:rFonts w:ascii="Arial" w:hAnsi="Arial" w:cs="Arial"/>
          <w:sz w:val="22"/>
          <w:szCs w:val="22"/>
        </w:rPr>
      </w:pPr>
    </w:p>
    <w:p w14:paraId="513E8217" w14:textId="77777777" w:rsidR="00A34A08" w:rsidRPr="00734B41" w:rsidRDefault="00A34A08" w:rsidP="00AE7B9E">
      <w:pPr>
        <w:spacing w:before="0" w:after="0" w:line="288" w:lineRule="auto"/>
        <w:rPr>
          <w:rFonts w:ascii="Arial" w:hAnsi="Arial" w:cs="Arial"/>
          <w:sz w:val="22"/>
          <w:szCs w:val="22"/>
        </w:rPr>
      </w:pPr>
    </w:p>
    <w:p w14:paraId="66118E36" w14:textId="77777777" w:rsidR="00A34A08" w:rsidRPr="00734B41" w:rsidRDefault="00A34A08" w:rsidP="00AE7B9E">
      <w:pPr>
        <w:spacing w:before="0" w:after="0" w:line="288" w:lineRule="auto"/>
        <w:rPr>
          <w:rFonts w:ascii="Arial" w:hAnsi="Arial" w:cs="Arial"/>
          <w:sz w:val="22"/>
          <w:szCs w:val="22"/>
        </w:rPr>
      </w:pPr>
    </w:p>
    <w:p w14:paraId="4A898FFF" w14:textId="77777777" w:rsidR="00A34A08" w:rsidRPr="00734B41" w:rsidRDefault="00A34A08" w:rsidP="00AE7B9E">
      <w:pPr>
        <w:spacing w:before="0" w:after="0" w:line="288" w:lineRule="auto"/>
        <w:rPr>
          <w:rFonts w:ascii="Arial" w:hAnsi="Arial" w:cs="Arial"/>
          <w:sz w:val="22"/>
          <w:szCs w:val="22"/>
        </w:rPr>
      </w:pPr>
    </w:p>
    <w:p w14:paraId="1A66166F" w14:textId="77777777" w:rsidR="00A34A08" w:rsidRPr="00734B41" w:rsidRDefault="00A34A08" w:rsidP="00AE7B9E">
      <w:pPr>
        <w:spacing w:before="0" w:after="0" w:line="288" w:lineRule="auto"/>
        <w:rPr>
          <w:rFonts w:ascii="Arial" w:hAnsi="Arial" w:cs="Arial"/>
          <w:sz w:val="22"/>
          <w:szCs w:val="22"/>
        </w:rPr>
      </w:pPr>
    </w:p>
    <w:p w14:paraId="7622CECD" w14:textId="77777777" w:rsidR="001F3BC5" w:rsidRPr="00734B41" w:rsidRDefault="001F3BC5" w:rsidP="00AE7B9E">
      <w:pPr>
        <w:spacing w:before="0" w:after="0" w:line="288" w:lineRule="auto"/>
        <w:rPr>
          <w:rFonts w:ascii="Arial" w:hAnsi="Arial" w:cs="Arial"/>
          <w:sz w:val="22"/>
          <w:szCs w:val="22"/>
        </w:rPr>
      </w:pPr>
    </w:p>
    <w:sectPr w:rsidR="001F3BC5" w:rsidRPr="00734B41" w:rsidSect="00436B9E">
      <w:headerReference w:type="default" r:id="rId23"/>
      <w:footerReference w:type="default" r:id="rId24"/>
      <w:head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EFFC5" w14:textId="77777777" w:rsidR="00E50E75" w:rsidRDefault="00E50E75" w:rsidP="007970D9">
      <w:pPr>
        <w:spacing w:before="0" w:after="0" w:line="240" w:lineRule="auto"/>
      </w:pPr>
      <w:r>
        <w:separator/>
      </w:r>
    </w:p>
  </w:endnote>
  <w:endnote w:type="continuationSeparator" w:id="0">
    <w:p w14:paraId="16A61D60" w14:textId="77777777" w:rsidR="00E50E75" w:rsidRDefault="00E50E75" w:rsidP="007970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E02B" w14:textId="0E385665" w:rsidR="007970D9" w:rsidRPr="00E302C9" w:rsidRDefault="00E302C9">
    <w:pPr>
      <w:pStyle w:val="Footer"/>
      <w:rPr>
        <w:rFonts w:ascii="Arial" w:hAnsi="Arial" w:cs="Arial"/>
      </w:rPr>
    </w:pPr>
    <w:r w:rsidRPr="00E302C9">
      <w:rPr>
        <w:rFonts w:ascii="Arial" w:hAnsi="Arial" w:cs="Arial"/>
        <w:sz w:val="18"/>
        <w:szCs w:val="18"/>
      </w:rPr>
      <w:t>DEI Survey 2022 Report</w:t>
    </w:r>
    <w:r w:rsidRPr="00E302C9">
      <w:rPr>
        <w:rFonts w:ascii="Arial" w:hAnsi="Arial" w:cs="Arial"/>
        <w:sz w:val="18"/>
        <w:szCs w:val="18"/>
      </w:rPr>
      <w:ptab w:relativeTo="margin" w:alignment="center" w:leader="none"/>
    </w:r>
    <w:r w:rsidRPr="00E302C9">
      <w:rPr>
        <w:rFonts w:ascii="Arial" w:hAnsi="Arial" w:cs="Arial"/>
        <w:sz w:val="18"/>
        <w:szCs w:val="18"/>
      </w:rPr>
      <w:ptab w:relativeTo="margin" w:alignment="right" w:leader="none"/>
    </w:r>
    <w:r w:rsidRPr="00E302C9">
      <w:rPr>
        <w:rFonts w:ascii="Arial" w:hAnsi="Arial" w:cs="Arial"/>
        <w:sz w:val="18"/>
        <w:szCs w:val="18"/>
      </w:rPr>
      <w:t xml:space="preserve">Produced January 2023 </w:t>
    </w:r>
    <w:r w:rsidRPr="00E302C9">
      <w:rPr>
        <w:rFonts w:ascii="Arial" w:hAnsi="Arial" w:cs="Arial"/>
      </w:rPr>
      <w:ptab w:relativeTo="margin" w:alignment="center" w:leader="none"/>
    </w:r>
    <w:r w:rsidRPr="00E302C9">
      <w:rPr>
        <w:rFonts w:ascii="Arial" w:hAnsi="Arial" w:cs="Arial"/>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39806" w14:textId="77777777" w:rsidR="00E50E75" w:rsidRDefault="00E50E75" w:rsidP="007970D9">
      <w:pPr>
        <w:spacing w:before="0" w:after="0" w:line="240" w:lineRule="auto"/>
      </w:pPr>
      <w:r>
        <w:separator/>
      </w:r>
    </w:p>
  </w:footnote>
  <w:footnote w:type="continuationSeparator" w:id="0">
    <w:p w14:paraId="59733CAF" w14:textId="77777777" w:rsidR="00E50E75" w:rsidRDefault="00E50E75" w:rsidP="007970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370953"/>
      <w:docPartObj>
        <w:docPartGallery w:val="Page Numbers (Top of Page)"/>
        <w:docPartUnique/>
      </w:docPartObj>
    </w:sdtPr>
    <w:sdtEndPr>
      <w:rPr>
        <w:rFonts w:ascii="Arial" w:hAnsi="Arial" w:cs="Arial"/>
      </w:rPr>
    </w:sdtEndPr>
    <w:sdtContent>
      <w:p w14:paraId="2B7578A8" w14:textId="7C1A952C" w:rsidR="00E302C9" w:rsidRDefault="00E302C9">
        <w:pPr>
          <w:pStyle w:val="Header"/>
          <w:jc w:val="right"/>
        </w:pPr>
        <w:r>
          <w:fldChar w:fldCharType="begin"/>
        </w:r>
        <w:r>
          <w:instrText>PAGE   \* MERGEFORMAT</w:instrText>
        </w:r>
        <w:r>
          <w:fldChar w:fldCharType="separate"/>
        </w:r>
        <w:r>
          <w:t>2</w:t>
        </w:r>
        <w:r>
          <w:fldChar w:fldCharType="end"/>
        </w:r>
      </w:p>
    </w:sdtContent>
  </w:sdt>
  <w:p w14:paraId="163DAA5E" w14:textId="77777777" w:rsidR="00E302C9" w:rsidRDefault="00E30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1ED" w14:textId="2A16F382" w:rsidR="00436B9E" w:rsidRDefault="00436B9E">
    <w:pPr>
      <w:pStyle w:val="Header"/>
    </w:pPr>
    <w:r>
      <w:rPr>
        <w:noProof/>
      </w:rPr>
      <w:drawing>
        <wp:anchor distT="0" distB="0" distL="114300" distR="114300" simplePos="0" relativeHeight="251658240" behindDoc="0" locked="0" layoutInCell="1" allowOverlap="1" wp14:anchorId="4D88801E" wp14:editId="793C0E18">
          <wp:simplePos x="0" y="0"/>
          <wp:positionH relativeFrom="column">
            <wp:posOffset>-733593</wp:posOffset>
          </wp:positionH>
          <wp:positionV relativeFrom="paragraph">
            <wp:posOffset>-345608</wp:posOffset>
          </wp:positionV>
          <wp:extent cx="3200400" cy="1144270"/>
          <wp:effectExtent l="0" t="0" r="0" b="0"/>
          <wp:wrapTopAndBottom/>
          <wp:docPr id="11" name="Picture 11" descr="Text,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 company n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200400" cy="114427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FE"/>
    <w:rsid w:val="0000029E"/>
    <w:rsid w:val="000010BB"/>
    <w:rsid w:val="00003B6C"/>
    <w:rsid w:val="00006AEB"/>
    <w:rsid w:val="00010074"/>
    <w:rsid w:val="00011ADA"/>
    <w:rsid w:val="00012E9E"/>
    <w:rsid w:val="000400A0"/>
    <w:rsid w:val="00051BDD"/>
    <w:rsid w:val="00052237"/>
    <w:rsid w:val="0005628D"/>
    <w:rsid w:val="0006468D"/>
    <w:rsid w:val="000657B6"/>
    <w:rsid w:val="000664C0"/>
    <w:rsid w:val="00073AAD"/>
    <w:rsid w:val="00086697"/>
    <w:rsid w:val="0009308C"/>
    <w:rsid w:val="00094296"/>
    <w:rsid w:val="00095449"/>
    <w:rsid w:val="000A5FC8"/>
    <w:rsid w:val="000A7312"/>
    <w:rsid w:val="000C0336"/>
    <w:rsid w:val="000C3FB6"/>
    <w:rsid w:val="000C6450"/>
    <w:rsid w:val="000C71CB"/>
    <w:rsid w:val="000D0234"/>
    <w:rsid w:val="000D034F"/>
    <w:rsid w:val="000D52BE"/>
    <w:rsid w:val="000D60AF"/>
    <w:rsid w:val="000E27C8"/>
    <w:rsid w:val="000E2C49"/>
    <w:rsid w:val="000E4EA5"/>
    <w:rsid w:val="000E6280"/>
    <w:rsid w:val="000F318B"/>
    <w:rsid w:val="00104EC2"/>
    <w:rsid w:val="00114573"/>
    <w:rsid w:val="00116C33"/>
    <w:rsid w:val="00126985"/>
    <w:rsid w:val="001318FE"/>
    <w:rsid w:val="00134721"/>
    <w:rsid w:val="001358CE"/>
    <w:rsid w:val="001608FF"/>
    <w:rsid w:val="00161206"/>
    <w:rsid w:val="00196CC7"/>
    <w:rsid w:val="00197B02"/>
    <w:rsid w:val="001A622E"/>
    <w:rsid w:val="001C651C"/>
    <w:rsid w:val="001C7EF4"/>
    <w:rsid w:val="001D7139"/>
    <w:rsid w:val="001F2E67"/>
    <w:rsid w:val="001F3BC5"/>
    <w:rsid w:val="00203C98"/>
    <w:rsid w:val="00205675"/>
    <w:rsid w:val="00207E16"/>
    <w:rsid w:val="0021172C"/>
    <w:rsid w:val="00217C7E"/>
    <w:rsid w:val="00222A4C"/>
    <w:rsid w:val="00223D1E"/>
    <w:rsid w:val="00224DF1"/>
    <w:rsid w:val="00242974"/>
    <w:rsid w:val="00244C29"/>
    <w:rsid w:val="0025757B"/>
    <w:rsid w:val="002576F7"/>
    <w:rsid w:val="002671F2"/>
    <w:rsid w:val="00286AEF"/>
    <w:rsid w:val="002962C4"/>
    <w:rsid w:val="002A7966"/>
    <w:rsid w:val="002C44BF"/>
    <w:rsid w:val="002D01C1"/>
    <w:rsid w:val="002E1C76"/>
    <w:rsid w:val="003041C7"/>
    <w:rsid w:val="003063ED"/>
    <w:rsid w:val="00315C20"/>
    <w:rsid w:val="0036083E"/>
    <w:rsid w:val="003661B3"/>
    <w:rsid w:val="003661C8"/>
    <w:rsid w:val="003665D8"/>
    <w:rsid w:val="00370990"/>
    <w:rsid w:val="00371192"/>
    <w:rsid w:val="0037424B"/>
    <w:rsid w:val="00383702"/>
    <w:rsid w:val="00395A95"/>
    <w:rsid w:val="003A30BE"/>
    <w:rsid w:val="003A3D10"/>
    <w:rsid w:val="003A4ECF"/>
    <w:rsid w:val="003C661E"/>
    <w:rsid w:val="003E36DB"/>
    <w:rsid w:val="003E59CE"/>
    <w:rsid w:val="003E7694"/>
    <w:rsid w:val="003E7B52"/>
    <w:rsid w:val="00402BE2"/>
    <w:rsid w:val="00406643"/>
    <w:rsid w:val="00410194"/>
    <w:rsid w:val="004142C1"/>
    <w:rsid w:val="00436B9E"/>
    <w:rsid w:val="00446F72"/>
    <w:rsid w:val="00452DA3"/>
    <w:rsid w:val="00463368"/>
    <w:rsid w:val="0046772F"/>
    <w:rsid w:val="00470E31"/>
    <w:rsid w:val="004711FE"/>
    <w:rsid w:val="00471399"/>
    <w:rsid w:val="004A0EAF"/>
    <w:rsid w:val="004A34E0"/>
    <w:rsid w:val="004A5EB8"/>
    <w:rsid w:val="004B7AFF"/>
    <w:rsid w:val="004C67BB"/>
    <w:rsid w:val="004C7597"/>
    <w:rsid w:val="004D3E36"/>
    <w:rsid w:val="004E31C0"/>
    <w:rsid w:val="004F4171"/>
    <w:rsid w:val="00502B84"/>
    <w:rsid w:val="00513169"/>
    <w:rsid w:val="00524806"/>
    <w:rsid w:val="00557AC2"/>
    <w:rsid w:val="00567862"/>
    <w:rsid w:val="00574E8B"/>
    <w:rsid w:val="005816BE"/>
    <w:rsid w:val="005A14ED"/>
    <w:rsid w:val="005A577B"/>
    <w:rsid w:val="005B21C1"/>
    <w:rsid w:val="005B6628"/>
    <w:rsid w:val="005C5ECC"/>
    <w:rsid w:val="005D2F8E"/>
    <w:rsid w:val="005D6B5A"/>
    <w:rsid w:val="005D7954"/>
    <w:rsid w:val="005E5E7B"/>
    <w:rsid w:val="005F65CC"/>
    <w:rsid w:val="00623C59"/>
    <w:rsid w:val="0063574A"/>
    <w:rsid w:val="0064526F"/>
    <w:rsid w:val="00645D3D"/>
    <w:rsid w:val="00653A21"/>
    <w:rsid w:val="006646E0"/>
    <w:rsid w:val="00672F1D"/>
    <w:rsid w:val="00676103"/>
    <w:rsid w:val="0068068A"/>
    <w:rsid w:val="006835C1"/>
    <w:rsid w:val="00696F9E"/>
    <w:rsid w:val="006B1791"/>
    <w:rsid w:val="006D0A3E"/>
    <w:rsid w:val="006D5B77"/>
    <w:rsid w:val="006E180F"/>
    <w:rsid w:val="006E46F6"/>
    <w:rsid w:val="006E660A"/>
    <w:rsid w:val="006F32F1"/>
    <w:rsid w:val="006F5BB9"/>
    <w:rsid w:val="007104DB"/>
    <w:rsid w:val="00710945"/>
    <w:rsid w:val="00714991"/>
    <w:rsid w:val="00734B41"/>
    <w:rsid w:val="00741B6A"/>
    <w:rsid w:val="0074498F"/>
    <w:rsid w:val="00747ECA"/>
    <w:rsid w:val="0075047A"/>
    <w:rsid w:val="007553D6"/>
    <w:rsid w:val="00775287"/>
    <w:rsid w:val="00783501"/>
    <w:rsid w:val="00792DC1"/>
    <w:rsid w:val="007970D9"/>
    <w:rsid w:val="0079715C"/>
    <w:rsid w:val="007B0456"/>
    <w:rsid w:val="007B1853"/>
    <w:rsid w:val="007B18BE"/>
    <w:rsid w:val="007B7901"/>
    <w:rsid w:val="007C5ADC"/>
    <w:rsid w:val="007E59F4"/>
    <w:rsid w:val="007F317B"/>
    <w:rsid w:val="007F336C"/>
    <w:rsid w:val="007F35E4"/>
    <w:rsid w:val="00813B16"/>
    <w:rsid w:val="0082223D"/>
    <w:rsid w:val="00840A7B"/>
    <w:rsid w:val="00851AFF"/>
    <w:rsid w:val="008568F3"/>
    <w:rsid w:val="00885491"/>
    <w:rsid w:val="008C04AE"/>
    <w:rsid w:val="008C1D7E"/>
    <w:rsid w:val="008C6E31"/>
    <w:rsid w:val="008D3C6E"/>
    <w:rsid w:val="008D531B"/>
    <w:rsid w:val="008F3AB4"/>
    <w:rsid w:val="0091572E"/>
    <w:rsid w:val="009201BC"/>
    <w:rsid w:val="00926364"/>
    <w:rsid w:val="009263FF"/>
    <w:rsid w:val="00935EB0"/>
    <w:rsid w:val="00936452"/>
    <w:rsid w:val="0094228B"/>
    <w:rsid w:val="00951225"/>
    <w:rsid w:val="00952957"/>
    <w:rsid w:val="00965311"/>
    <w:rsid w:val="00971E68"/>
    <w:rsid w:val="009736A6"/>
    <w:rsid w:val="00976A92"/>
    <w:rsid w:val="00977925"/>
    <w:rsid w:val="009A2431"/>
    <w:rsid w:val="009B33D7"/>
    <w:rsid w:val="009C4565"/>
    <w:rsid w:val="009C516E"/>
    <w:rsid w:val="009C6B15"/>
    <w:rsid w:val="009F1CD5"/>
    <w:rsid w:val="00A0131D"/>
    <w:rsid w:val="00A10117"/>
    <w:rsid w:val="00A13659"/>
    <w:rsid w:val="00A202AD"/>
    <w:rsid w:val="00A2070F"/>
    <w:rsid w:val="00A34A08"/>
    <w:rsid w:val="00A50F4C"/>
    <w:rsid w:val="00A546B4"/>
    <w:rsid w:val="00A563F8"/>
    <w:rsid w:val="00A64276"/>
    <w:rsid w:val="00A73150"/>
    <w:rsid w:val="00A76E61"/>
    <w:rsid w:val="00AA0927"/>
    <w:rsid w:val="00AA4317"/>
    <w:rsid w:val="00AB249C"/>
    <w:rsid w:val="00AB7F72"/>
    <w:rsid w:val="00AC1339"/>
    <w:rsid w:val="00AC2B9A"/>
    <w:rsid w:val="00AC51F7"/>
    <w:rsid w:val="00AE0A68"/>
    <w:rsid w:val="00AE7B9E"/>
    <w:rsid w:val="00AF4784"/>
    <w:rsid w:val="00AF494D"/>
    <w:rsid w:val="00B05A79"/>
    <w:rsid w:val="00B10E5D"/>
    <w:rsid w:val="00B15231"/>
    <w:rsid w:val="00B44E99"/>
    <w:rsid w:val="00B51240"/>
    <w:rsid w:val="00B64E44"/>
    <w:rsid w:val="00B71365"/>
    <w:rsid w:val="00B97AD1"/>
    <w:rsid w:val="00B97D2C"/>
    <w:rsid w:val="00BA4C9F"/>
    <w:rsid w:val="00BA6A95"/>
    <w:rsid w:val="00BB2B7A"/>
    <w:rsid w:val="00BC1C98"/>
    <w:rsid w:val="00BC5F70"/>
    <w:rsid w:val="00BC6F87"/>
    <w:rsid w:val="00BE0AF0"/>
    <w:rsid w:val="00BE720E"/>
    <w:rsid w:val="00C20EB2"/>
    <w:rsid w:val="00C63E9B"/>
    <w:rsid w:val="00C64570"/>
    <w:rsid w:val="00C66C5C"/>
    <w:rsid w:val="00CC2316"/>
    <w:rsid w:val="00CE24BD"/>
    <w:rsid w:val="00CE2C51"/>
    <w:rsid w:val="00D0651E"/>
    <w:rsid w:val="00D26BD3"/>
    <w:rsid w:val="00D27465"/>
    <w:rsid w:val="00D32095"/>
    <w:rsid w:val="00D32FE7"/>
    <w:rsid w:val="00D73DAE"/>
    <w:rsid w:val="00D741E0"/>
    <w:rsid w:val="00D808CF"/>
    <w:rsid w:val="00D80EB4"/>
    <w:rsid w:val="00D8556D"/>
    <w:rsid w:val="00D946A0"/>
    <w:rsid w:val="00DA191F"/>
    <w:rsid w:val="00DA462C"/>
    <w:rsid w:val="00DB2BF7"/>
    <w:rsid w:val="00DB61D9"/>
    <w:rsid w:val="00DB6A0D"/>
    <w:rsid w:val="00DD1AC3"/>
    <w:rsid w:val="00DD1EB3"/>
    <w:rsid w:val="00DD3C9A"/>
    <w:rsid w:val="00DE4598"/>
    <w:rsid w:val="00DF5C25"/>
    <w:rsid w:val="00E10862"/>
    <w:rsid w:val="00E11A6D"/>
    <w:rsid w:val="00E302C9"/>
    <w:rsid w:val="00E3508F"/>
    <w:rsid w:val="00E50896"/>
    <w:rsid w:val="00E50E75"/>
    <w:rsid w:val="00E61139"/>
    <w:rsid w:val="00E634F7"/>
    <w:rsid w:val="00E65526"/>
    <w:rsid w:val="00E900D9"/>
    <w:rsid w:val="00EB0E73"/>
    <w:rsid w:val="00EB71B7"/>
    <w:rsid w:val="00ED35AC"/>
    <w:rsid w:val="00ED6A9E"/>
    <w:rsid w:val="00ED7407"/>
    <w:rsid w:val="00EF457D"/>
    <w:rsid w:val="00F0466E"/>
    <w:rsid w:val="00F2157B"/>
    <w:rsid w:val="00F25477"/>
    <w:rsid w:val="00F3540C"/>
    <w:rsid w:val="00F41053"/>
    <w:rsid w:val="00F42E71"/>
    <w:rsid w:val="00F669B4"/>
    <w:rsid w:val="00F73CE9"/>
    <w:rsid w:val="00F7716A"/>
    <w:rsid w:val="00F8743A"/>
    <w:rsid w:val="00F905B5"/>
    <w:rsid w:val="00F979CD"/>
    <w:rsid w:val="00FA0786"/>
    <w:rsid w:val="00FA51CC"/>
    <w:rsid w:val="00FA6871"/>
    <w:rsid w:val="00FD3AE5"/>
    <w:rsid w:val="00FD3DDD"/>
    <w:rsid w:val="00FF3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936D24"/>
  <w15:chartTrackingRefBased/>
  <w15:docId w15:val="{EBCA41E7-2C11-4286-BBB8-342579D3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8FE"/>
  </w:style>
  <w:style w:type="paragraph" w:styleId="Heading1">
    <w:name w:val="heading 1"/>
    <w:basedOn w:val="Normal"/>
    <w:next w:val="Normal"/>
    <w:link w:val="Heading1Char"/>
    <w:uiPriority w:val="9"/>
    <w:qFormat/>
    <w:rsid w:val="001318F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318F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318FE"/>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318FE"/>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318FE"/>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318FE"/>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318FE"/>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318F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318F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8FE"/>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1318FE"/>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1318FE"/>
    <w:rPr>
      <w:caps/>
      <w:color w:val="1F3763" w:themeColor="accent1" w:themeShade="7F"/>
      <w:spacing w:val="15"/>
    </w:rPr>
  </w:style>
  <w:style w:type="character" w:customStyle="1" w:styleId="Heading4Char">
    <w:name w:val="Heading 4 Char"/>
    <w:basedOn w:val="DefaultParagraphFont"/>
    <w:link w:val="Heading4"/>
    <w:uiPriority w:val="9"/>
    <w:semiHidden/>
    <w:rsid w:val="001318FE"/>
    <w:rPr>
      <w:caps/>
      <w:color w:val="2F5496" w:themeColor="accent1" w:themeShade="BF"/>
      <w:spacing w:val="10"/>
    </w:rPr>
  </w:style>
  <w:style w:type="character" w:customStyle="1" w:styleId="Heading5Char">
    <w:name w:val="Heading 5 Char"/>
    <w:basedOn w:val="DefaultParagraphFont"/>
    <w:link w:val="Heading5"/>
    <w:uiPriority w:val="9"/>
    <w:semiHidden/>
    <w:rsid w:val="001318FE"/>
    <w:rPr>
      <w:caps/>
      <w:color w:val="2F5496" w:themeColor="accent1" w:themeShade="BF"/>
      <w:spacing w:val="10"/>
    </w:rPr>
  </w:style>
  <w:style w:type="character" w:customStyle="1" w:styleId="Heading6Char">
    <w:name w:val="Heading 6 Char"/>
    <w:basedOn w:val="DefaultParagraphFont"/>
    <w:link w:val="Heading6"/>
    <w:uiPriority w:val="9"/>
    <w:semiHidden/>
    <w:rsid w:val="001318FE"/>
    <w:rPr>
      <w:caps/>
      <w:color w:val="2F5496" w:themeColor="accent1" w:themeShade="BF"/>
      <w:spacing w:val="10"/>
    </w:rPr>
  </w:style>
  <w:style w:type="character" w:customStyle="1" w:styleId="Heading7Char">
    <w:name w:val="Heading 7 Char"/>
    <w:basedOn w:val="DefaultParagraphFont"/>
    <w:link w:val="Heading7"/>
    <w:uiPriority w:val="9"/>
    <w:semiHidden/>
    <w:rsid w:val="001318FE"/>
    <w:rPr>
      <w:caps/>
      <w:color w:val="2F5496" w:themeColor="accent1" w:themeShade="BF"/>
      <w:spacing w:val="10"/>
    </w:rPr>
  </w:style>
  <w:style w:type="character" w:customStyle="1" w:styleId="Heading8Char">
    <w:name w:val="Heading 8 Char"/>
    <w:basedOn w:val="DefaultParagraphFont"/>
    <w:link w:val="Heading8"/>
    <w:uiPriority w:val="9"/>
    <w:semiHidden/>
    <w:rsid w:val="001318FE"/>
    <w:rPr>
      <w:caps/>
      <w:spacing w:val="10"/>
      <w:sz w:val="18"/>
      <w:szCs w:val="18"/>
    </w:rPr>
  </w:style>
  <w:style w:type="character" w:customStyle="1" w:styleId="Heading9Char">
    <w:name w:val="Heading 9 Char"/>
    <w:basedOn w:val="DefaultParagraphFont"/>
    <w:link w:val="Heading9"/>
    <w:uiPriority w:val="9"/>
    <w:semiHidden/>
    <w:rsid w:val="001318FE"/>
    <w:rPr>
      <w:i/>
      <w:iCs/>
      <w:caps/>
      <w:spacing w:val="10"/>
      <w:sz w:val="18"/>
      <w:szCs w:val="18"/>
    </w:rPr>
  </w:style>
  <w:style w:type="paragraph" w:styleId="Caption">
    <w:name w:val="caption"/>
    <w:basedOn w:val="Normal"/>
    <w:next w:val="Normal"/>
    <w:uiPriority w:val="35"/>
    <w:unhideWhenUsed/>
    <w:qFormat/>
    <w:rsid w:val="001318FE"/>
    <w:rPr>
      <w:b/>
      <w:bCs/>
      <w:color w:val="2F5496" w:themeColor="accent1" w:themeShade="BF"/>
      <w:sz w:val="16"/>
      <w:szCs w:val="16"/>
    </w:rPr>
  </w:style>
  <w:style w:type="paragraph" w:styleId="Title">
    <w:name w:val="Title"/>
    <w:basedOn w:val="Normal"/>
    <w:next w:val="Normal"/>
    <w:link w:val="TitleChar"/>
    <w:uiPriority w:val="10"/>
    <w:qFormat/>
    <w:rsid w:val="001318FE"/>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318FE"/>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318F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318FE"/>
    <w:rPr>
      <w:caps/>
      <w:color w:val="595959" w:themeColor="text1" w:themeTint="A6"/>
      <w:spacing w:val="10"/>
      <w:sz w:val="21"/>
      <w:szCs w:val="21"/>
    </w:rPr>
  </w:style>
  <w:style w:type="character" w:styleId="Strong">
    <w:name w:val="Strong"/>
    <w:uiPriority w:val="22"/>
    <w:qFormat/>
    <w:rsid w:val="001318FE"/>
    <w:rPr>
      <w:b/>
      <w:bCs/>
    </w:rPr>
  </w:style>
  <w:style w:type="character" w:styleId="Emphasis">
    <w:name w:val="Emphasis"/>
    <w:uiPriority w:val="20"/>
    <w:qFormat/>
    <w:rsid w:val="001318FE"/>
    <w:rPr>
      <w:caps/>
      <w:color w:val="1F3763" w:themeColor="accent1" w:themeShade="7F"/>
      <w:spacing w:val="5"/>
    </w:rPr>
  </w:style>
  <w:style w:type="paragraph" w:styleId="NoSpacing">
    <w:name w:val="No Spacing"/>
    <w:uiPriority w:val="1"/>
    <w:qFormat/>
    <w:rsid w:val="001318FE"/>
    <w:pPr>
      <w:spacing w:after="0" w:line="240" w:lineRule="auto"/>
    </w:pPr>
  </w:style>
  <w:style w:type="paragraph" w:styleId="Quote">
    <w:name w:val="Quote"/>
    <w:basedOn w:val="Normal"/>
    <w:next w:val="Normal"/>
    <w:link w:val="QuoteChar"/>
    <w:uiPriority w:val="29"/>
    <w:qFormat/>
    <w:rsid w:val="001318FE"/>
    <w:rPr>
      <w:i/>
      <w:iCs/>
      <w:sz w:val="24"/>
      <w:szCs w:val="24"/>
    </w:rPr>
  </w:style>
  <w:style w:type="character" w:customStyle="1" w:styleId="QuoteChar">
    <w:name w:val="Quote Char"/>
    <w:basedOn w:val="DefaultParagraphFont"/>
    <w:link w:val="Quote"/>
    <w:uiPriority w:val="29"/>
    <w:rsid w:val="001318FE"/>
    <w:rPr>
      <w:i/>
      <w:iCs/>
      <w:sz w:val="24"/>
      <w:szCs w:val="24"/>
    </w:rPr>
  </w:style>
  <w:style w:type="paragraph" w:styleId="IntenseQuote">
    <w:name w:val="Intense Quote"/>
    <w:basedOn w:val="Normal"/>
    <w:next w:val="Normal"/>
    <w:link w:val="IntenseQuoteChar"/>
    <w:uiPriority w:val="30"/>
    <w:qFormat/>
    <w:rsid w:val="001318FE"/>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318FE"/>
    <w:rPr>
      <w:color w:val="4472C4" w:themeColor="accent1"/>
      <w:sz w:val="24"/>
      <w:szCs w:val="24"/>
    </w:rPr>
  </w:style>
  <w:style w:type="character" w:styleId="SubtleEmphasis">
    <w:name w:val="Subtle Emphasis"/>
    <w:uiPriority w:val="19"/>
    <w:qFormat/>
    <w:rsid w:val="001318FE"/>
    <w:rPr>
      <w:i/>
      <w:iCs/>
      <w:color w:val="1F3763" w:themeColor="accent1" w:themeShade="7F"/>
    </w:rPr>
  </w:style>
  <w:style w:type="character" w:styleId="IntenseEmphasis">
    <w:name w:val="Intense Emphasis"/>
    <w:uiPriority w:val="21"/>
    <w:qFormat/>
    <w:rsid w:val="001318FE"/>
    <w:rPr>
      <w:b/>
      <w:bCs/>
      <w:caps/>
      <w:color w:val="1F3763" w:themeColor="accent1" w:themeShade="7F"/>
      <w:spacing w:val="10"/>
    </w:rPr>
  </w:style>
  <w:style w:type="character" w:styleId="SubtleReference">
    <w:name w:val="Subtle Reference"/>
    <w:uiPriority w:val="31"/>
    <w:qFormat/>
    <w:rsid w:val="001318FE"/>
    <w:rPr>
      <w:b/>
      <w:bCs/>
      <w:color w:val="4472C4" w:themeColor="accent1"/>
    </w:rPr>
  </w:style>
  <w:style w:type="character" w:styleId="IntenseReference">
    <w:name w:val="Intense Reference"/>
    <w:uiPriority w:val="32"/>
    <w:qFormat/>
    <w:rsid w:val="001318FE"/>
    <w:rPr>
      <w:b/>
      <w:bCs/>
      <w:i/>
      <w:iCs/>
      <w:caps/>
      <w:color w:val="4472C4" w:themeColor="accent1"/>
    </w:rPr>
  </w:style>
  <w:style w:type="character" w:styleId="BookTitle">
    <w:name w:val="Book Title"/>
    <w:uiPriority w:val="33"/>
    <w:qFormat/>
    <w:rsid w:val="001318FE"/>
    <w:rPr>
      <w:b/>
      <w:bCs/>
      <w:i/>
      <w:iCs/>
      <w:spacing w:val="0"/>
    </w:rPr>
  </w:style>
  <w:style w:type="paragraph" w:styleId="TOCHeading">
    <w:name w:val="TOC Heading"/>
    <w:basedOn w:val="Heading1"/>
    <w:next w:val="Normal"/>
    <w:uiPriority w:val="39"/>
    <w:semiHidden/>
    <w:unhideWhenUsed/>
    <w:qFormat/>
    <w:rsid w:val="001318FE"/>
    <w:pPr>
      <w:outlineLvl w:val="9"/>
    </w:pPr>
  </w:style>
  <w:style w:type="character" w:styleId="CommentReference">
    <w:name w:val="annotation reference"/>
    <w:basedOn w:val="DefaultParagraphFont"/>
    <w:uiPriority w:val="99"/>
    <w:semiHidden/>
    <w:unhideWhenUsed/>
    <w:rsid w:val="00D27465"/>
    <w:rPr>
      <w:sz w:val="16"/>
      <w:szCs w:val="16"/>
    </w:rPr>
  </w:style>
  <w:style w:type="paragraph" w:styleId="CommentText">
    <w:name w:val="annotation text"/>
    <w:basedOn w:val="Normal"/>
    <w:link w:val="CommentTextChar"/>
    <w:uiPriority w:val="99"/>
    <w:semiHidden/>
    <w:unhideWhenUsed/>
    <w:rsid w:val="00D27465"/>
    <w:pPr>
      <w:spacing w:line="240" w:lineRule="auto"/>
    </w:pPr>
  </w:style>
  <w:style w:type="character" w:customStyle="1" w:styleId="CommentTextChar">
    <w:name w:val="Comment Text Char"/>
    <w:basedOn w:val="DefaultParagraphFont"/>
    <w:link w:val="CommentText"/>
    <w:uiPriority w:val="99"/>
    <w:semiHidden/>
    <w:rsid w:val="00D27465"/>
  </w:style>
  <w:style w:type="paragraph" w:styleId="CommentSubject">
    <w:name w:val="annotation subject"/>
    <w:basedOn w:val="CommentText"/>
    <w:next w:val="CommentText"/>
    <w:link w:val="CommentSubjectChar"/>
    <w:uiPriority w:val="99"/>
    <w:semiHidden/>
    <w:unhideWhenUsed/>
    <w:rsid w:val="00D27465"/>
    <w:rPr>
      <w:b/>
      <w:bCs/>
    </w:rPr>
  </w:style>
  <w:style w:type="character" w:customStyle="1" w:styleId="CommentSubjectChar">
    <w:name w:val="Comment Subject Char"/>
    <w:basedOn w:val="CommentTextChar"/>
    <w:link w:val="CommentSubject"/>
    <w:uiPriority w:val="99"/>
    <w:semiHidden/>
    <w:rsid w:val="00D27465"/>
    <w:rPr>
      <w:b/>
      <w:bCs/>
    </w:rPr>
  </w:style>
  <w:style w:type="paragraph" w:styleId="Header">
    <w:name w:val="header"/>
    <w:basedOn w:val="Normal"/>
    <w:link w:val="HeaderChar"/>
    <w:uiPriority w:val="99"/>
    <w:unhideWhenUsed/>
    <w:rsid w:val="007970D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970D9"/>
  </w:style>
  <w:style w:type="paragraph" w:styleId="Footer">
    <w:name w:val="footer"/>
    <w:basedOn w:val="Normal"/>
    <w:link w:val="FooterChar"/>
    <w:uiPriority w:val="99"/>
    <w:unhideWhenUsed/>
    <w:rsid w:val="007970D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970D9"/>
  </w:style>
  <w:style w:type="paragraph" w:styleId="Revision">
    <w:name w:val="Revision"/>
    <w:hidden/>
    <w:uiPriority w:val="99"/>
    <w:semiHidden/>
    <w:rsid w:val="00885491"/>
    <w:pPr>
      <w:spacing w:before="0" w:after="0" w:line="240" w:lineRule="auto"/>
    </w:pPr>
  </w:style>
  <w:style w:type="table" w:styleId="TableGrid">
    <w:name w:val="Table Grid"/>
    <w:basedOn w:val="TableNormal"/>
    <w:uiPriority w:val="39"/>
    <w:rsid w:val="00BE0AF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6B9E"/>
    <w:rPr>
      <w:color w:val="0563C1" w:themeColor="hyperlink"/>
      <w:u w:val="single"/>
    </w:rPr>
  </w:style>
  <w:style w:type="character" w:styleId="UnresolvedMention">
    <w:name w:val="Unresolved Mention"/>
    <w:basedOn w:val="DefaultParagraphFont"/>
    <w:uiPriority w:val="99"/>
    <w:semiHidden/>
    <w:unhideWhenUsed/>
    <w:rsid w:val="00436B9E"/>
    <w:rPr>
      <w:color w:val="605E5C"/>
      <w:shd w:val="clear" w:color="auto" w:fill="E1DFDD"/>
    </w:rPr>
  </w:style>
  <w:style w:type="table" w:styleId="TableGridLight">
    <w:name w:val="Grid Table Light"/>
    <w:basedOn w:val="TableNormal"/>
    <w:uiPriority w:val="40"/>
    <w:rsid w:val="000E27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Accent6">
    <w:name w:val="List Table 1 Light Accent 6"/>
    <w:basedOn w:val="TableNormal"/>
    <w:uiPriority w:val="46"/>
    <w:rsid w:val="003A3D1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1Light-Accent5">
    <w:name w:val="List Table 1 Light Accent 5"/>
    <w:basedOn w:val="TableNormal"/>
    <w:uiPriority w:val="46"/>
    <w:rsid w:val="003A3D10"/>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3">
    <w:name w:val="List Table 1 Light Accent 3"/>
    <w:basedOn w:val="TableNormal"/>
    <w:uiPriority w:val="46"/>
    <w:rsid w:val="003A3D1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48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ocialmobilityworks.org/toolkit/measurement/" TargetMode="Externa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yperlink" Target="https://socialmobilityworks.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https://socialmobilityworks.org/wp-content/uploads/2021/05/Summary-report-on-measurement-changes_FINAL-Updated-May-2021.pdf"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EgnyteDrive\phf\Shared\Human%20Resources\Equality%20and%20Diversity\Diversity%20Survey%202022\Diversity%20Questionnaire%202022%20full%20data%20-%20BM%20test%20work.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EgnyteDrive\phf\Shared\Human%20Resources\Equality%20and%20Diversity\Diversity%20Survey%202022\Diversity%20Questionnaire%202022%20full%20data%20-%20BM%20test%20work.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EgnyteDrive\phf\Shared\Human%20Resources\Equality%20and%20Diversity\Diversity%20Survey%202022\Diversity%20Questionnaire%202022%20full%20data%20-%20BM%20test%20work.xlsx"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file:///\\EgnyteDrive\phf\Shared\Human%20Resources\Equality%20and%20Diversity\Diversity%20Survey%202022\Diversity%20Questionnaire%202022%20full%20data%20-%20BM%20test%20work.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EgnyteDrive\phf\Shared\Human%20Resources\Equality%20and%20Diversity\Diversity%20Survey%202022\Diversity%20Questionnaire%202022%20full%20data%20-%20BM%20test%20work.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gnyteDrive\phf\Shared\Human%20Resources\Equality%20and%20Diversity\Diversity%20Survey%202022\Diversity%20Questionnaire%202022%20full%20data%20-%20BM%20test%20work.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EgnyteDrive\phf\Shared\Human%20Resources\Equality%20and%20Diversity\Diversity%20Survey%202022\Diversity%20Questionnaire%202022%20full%20data%20-%20BM%20test%20work.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EgnyteDrive\phf\Shared\Human%20Resources\Equality%20and%20Diversity\Diversity%20Survey%202022\Diversity%20Questionnaire%202022%20full%20data%20-%20BM%20test%20work.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EgnyteDrive\phf\Shared\Human%20Resources\Equality%20and%20Diversity\Diversity%20Survey%202022\Diversity%20Questionnaire%202022%20full%20data%20-%20BM%20test%20work.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EgnyteDrive\phf\Shared\Human%20Resources\Equality%20and%20Diversity\Diversity%20Survey%202022\Diversity%20Questionnaire%202022%20full%20data%20-%20BM%20test%20work.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EgnyteDrive\phf\Shared\Human%20Resources\Equality%20and%20Diversity\Diversity%20Survey%202022\Diversity%20Questionnaire%202022%20full%20data%20-%20BM%20test%20work.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latin typeface="Arial" panose="020B0604020202020204" pitchFamily="34" charset="0"/>
                <a:cs typeface="Arial" panose="020B0604020202020204" pitchFamily="34" charset="0"/>
              </a:rPr>
              <a:t>2022 Participation</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2894022252982064"/>
          <c:y val="0.14609321849209281"/>
          <c:w val="0.39152260146156087"/>
          <c:h val="0.6866486635018999"/>
        </c:manualLayout>
      </c:layout>
      <c:pieChart>
        <c:varyColors val="1"/>
        <c:ser>
          <c:idx val="0"/>
          <c:order val="0"/>
          <c:tx>
            <c:strRef>
              <c:f>Sheet1!$B$1</c:f>
              <c:strCache>
                <c:ptCount val="1"/>
                <c:pt idx="0">
                  <c:v>Respondents</c:v>
                </c:pt>
              </c:strCache>
            </c:strRef>
          </c:tx>
          <c:spPr>
            <a:solidFill>
              <a:srgbClr val="AAC2C7"/>
            </a:solidFill>
          </c:spPr>
          <c:dPt>
            <c:idx val="0"/>
            <c:bubble3D val="0"/>
            <c:spPr>
              <a:solidFill>
                <a:srgbClr val="0098CC"/>
              </a:solidFill>
              <a:ln w="19050">
                <a:solidFill>
                  <a:schemeClr val="lt1"/>
                </a:solidFill>
              </a:ln>
              <a:effectLst/>
            </c:spPr>
            <c:extLst>
              <c:ext xmlns:c16="http://schemas.microsoft.com/office/drawing/2014/chart" uri="{C3380CC4-5D6E-409C-BE32-E72D297353CC}">
                <c16:uniqueId val="{00000001-AE9A-4F51-9B3A-4632CABCB747}"/>
              </c:ext>
            </c:extLst>
          </c:dPt>
          <c:dPt>
            <c:idx val="1"/>
            <c:bubble3D val="0"/>
            <c:spPr>
              <a:solidFill>
                <a:srgbClr val="4D647C"/>
              </a:solidFill>
              <a:ln w="19050">
                <a:solidFill>
                  <a:schemeClr val="lt1"/>
                </a:solidFill>
              </a:ln>
              <a:effectLst/>
            </c:spPr>
            <c:extLst>
              <c:ext xmlns:c16="http://schemas.microsoft.com/office/drawing/2014/chart" uri="{C3380CC4-5D6E-409C-BE32-E72D297353CC}">
                <c16:uniqueId val="{00000003-AE9A-4F51-9B3A-4632CABCB747}"/>
              </c:ext>
            </c:extLst>
          </c:dPt>
          <c:dPt>
            <c:idx val="2"/>
            <c:bubble3D val="0"/>
            <c:spPr>
              <a:solidFill>
                <a:srgbClr val="5B9636"/>
              </a:solidFill>
              <a:ln w="19050">
                <a:solidFill>
                  <a:schemeClr val="lt1"/>
                </a:solidFill>
              </a:ln>
              <a:effectLst/>
            </c:spPr>
            <c:extLst>
              <c:ext xmlns:c16="http://schemas.microsoft.com/office/drawing/2014/chart" uri="{C3380CC4-5D6E-409C-BE32-E72D297353CC}">
                <c16:uniqueId val="{00000005-AE9A-4F51-9B3A-4632CABCB747}"/>
              </c:ext>
            </c:extLst>
          </c:dPt>
          <c:cat>
            <c:strRef>
              <c:f>Sheet1!$A$2:$A$4</c:f>
              <c:strCache>
                <c:ptCount val="3"/>
                <c:pt idx="0">
                  <c:v>Employees</c:v>
                </c:pt>
                <c:pt idx="1">
                  <c:v>Advisors</c:v>
                </c:pt>
                <c:pt idx="2">
                  <c:v>Trustees</c:v>
                </c:pt>
              </c:strCache>
            </c:strRef>
          </c:cat>
          <c:val>
            <c:numRef>
              <c:f>Sheet1!$B$2:$B$4</c:f>
              <c:numCache>
                <c:formatCode>General</c:formatCode>
                <c:ptCount val="3"/>
                <c:pt idx="0">
                  <c:v>35</c:v>
                </c:pt>
                <c:pt idx="1">
                  <c:v>8</c:v>
                </c:pt>
                <c:pt idx="2">
                  <c:v>10</c:v>
                </c:pt>
              </c:numCache>
            </c:numRef>
          </c:val>
          <c:extLst>
            <c:ext xmlns:c16="http://schemas.microsoft.com/office/drawing/2014/chart" uri="{C3380CC4-5D6E-409C-BE32-E72D297353CC}">
              <c16:uniqueId val="{00000006-AE9A-4F51-9B3A-4632CABCB74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t>Ethnicity: employee group</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'Ethnic origin'!$F$17</c:f>
              <c:strCache>
                <c:ptCount val="1"/>
                <c:pt idx="0">
                  <c:v>2019</c:v>
                </c:pt>
              </c:strCache>
            </c:strRef>
          </c:tx>
          <c:spPr>
            <a:solidFill>
              <a:srgbClr val="AAC2C7"/>
            </a:solidFill>
            <a:ln>
              <a:noFill/>
            </a:ln>
            <a:effectLst/>
          </c:spPr>
          <c:invertIfNegative val="0"/>
          <c:cat>
            <c:strRef>
              <c:f>'Ethnic origin'!$E$18:$E$20</c:f>
              <c:strCache>
                <c:ptCount val="3"/>
                <c:pt idx="0">
                  <c:v>Prefer not to say</c:v>
                </c:pt>
                <c:pt idx="1">
                  <c:v>White - English / Welsh / Scottish / Northern Irish / British;White Irish; or Other</c:v>
                </c:pt>
                <c:pt idx="2">
                  <c:v>Asian or Asian British; and British or Black British; and Mixed or Multiple Ethnic groups; and Other Ethnic groups*</c:v>
                </c:pt>
              </c:strCache>
            </c:strRef>
          </c:cat>
          <c:val>
            <c:numRef>
              <c:f>'Ethnic origin'!$F$18:$F$20</c:f>
              <c:numCache>
                <c:formatCode>0%</c:formatCode>
                <c:ptCount val="3"/>
                <c:pt idx="1">
                  <c:v>0.84850000000000003</c:v>
                </c:pt>
                <c:pt idx="2">
                  <c:v>0.15140000000000001</c:v>
                </c:pt>
              </c:numCache>
            </c:numRef>
          </c:val>
          <c:extLst>
            <c:ext xmlns:c16="http://schemas.microsoft.com/office/drawing/2014/chart" uri="{C3380CC4-5D6E-409C-BE32-E72D297353CC}">
              <c16:uniqueId val="{00000000-1AAD-49DA-8B7D-36234E50E95F}"/>
            </c:ext>
          </c:extLst>
        </c:ser>
        <c:ser>
          <c:idx val="1"/>
          <c:order val="1"/>
          <c:tx>
            <c:strRef>
              <c:f>'Ethnic origin'!$G$17</c:f>
              <c:strCache>
                <c:ptCount val="1"/>
                <c:pt idx="0">
                  <c:v>2021</c:v>
                </c:pt>
              </c:strCache>
            </c:strRef>
          </c:tx>
          <c:spPr>
            <a:solidFill>
              <a:srgbClr val="7549B1"/>
            </a:solidFill>
            <a:ln>
              <a:noFill/>
            </a:ln>
            <a:effectLst/>
          </c:spPr>
          <c:invertIfNegative val="0"/>
          <c:cat>
            <c:strRef>
              <c:f>'Ethnic origin'!$E$18:$E$20</c:f>
              <c:strCache>
                <c:ptCount val="3"/>
                <c:pt idx="0">
                  <c:v>Prefer not to say</c:v>
                </c:pt>
                <c:pt idx="1">
                  <c:v>White - English / Welsh / Scottish / Northern Irish / British;White Irish; or Other</c:v>
                </c:pt>
                <c:pt idx="2">
                  <c:v>Asian or Asian British; and British or Black British; and Mixed or Multiple Ethnic groups; and Other Ethnic groups*</c:v>
                </c:pt>
              </c:strCache>
            </c:strRef>
          </c:cat>
          <c:val>
            <c:numRef>
              <c:f>'Ethnic origin'!$G$18:$G$20</c:f>
              <c:numCache>
                <c:formatCode>0%</c:formatCode>
                <c:ptCount val="3"/>
                <c:pt idx="1">
                  <c:v>0.76910000000000001</c:v>
                </c:pt>
                <c:pt idx="2">
                  <c:v>0.25641025641025639</c:v>
                </c:pt>
              </c:numCache>
            </c:numRef>
          </c:val>
          <c:extLst>
            <c:ext xmlns:c16="http://schemas.microsoft.com/office/drawing/2014/chart" uri="{C3380CC4-5D6E-409C-BE32-E72D297353CC}">
              <c16:uniqueId val="{00000001-1AAD-49DA-8B7D-36234E50E95F}"/>
            </c:ext>
          </c:extLst>
        </c:ser>
        <c:ser>
          <c:idx val="2"/>
          <c:order val="2"/>
          <c:tx>
            <c:strRef>
              <c:f>'Ethnic origin'!$H$17</c:f>
              <c:strCache>
                <c:ptCount val="1"/>
                <c:pt idx="0">
                  <c:v>2022</c:v>
                </c:pt>
              </c:strCache>
            </c:strRef>
          </c:tx>
          <c:spPr>
            <a:solidFill>
              <a:srgbClr val="0098CC"/>
            </a:solidFill>
            <a:ln>
              <a:noFill/>
            </a:ln>
            <a:effectLst/>
          </c:spPr>
          <c:invertIfNegative val="0"/>
          <c:cat>
            <c:strRef>
              <c:f>'Ethnic origin'!$E$18:$E$20</c:f>
              <c:strCache>
                <c:ptCount val="3"/>
                <c:pt idx="0">
                  <c:v>Prefer not to say</c:v>
                </c:pt>
                <c:pt idx="1">
                  <c:v>White - English / Welsh / Scottish / Northern Irish / British;White Irish; or Other</c:v>
                </c:pt>
                <c:pt idx="2">
                  <c:v>Asian or Asian British; and British or Black British; and Mixed or Multiple Ethnic groups; and Other Ethnic groups*</c:v>
                </c:pt>
              </c:strCache>
            </c:strRef>
          </c:cat>
          <c:val>
            <c:numRef>
              <c:f>'Ethnic origin'!$H$18:$H$20</c:f>
              <c:numCache>
                <c:formatCode>0%</c:formatCode>
                <c:ptCount val="3"/>
                <c:pt idx="0">
                  <c:v>0.03</c:v>
                </c:pt>
                <c:pt idx="1">
                  <c:v>0.71</c:v>
                </c:pt>
                <c:pt idx="2">
                  <c:v>0.26</c:v>
                </c:pt>
              </c:numCache>
            </c:numRef>
          </c:val>
          <c:extLst>
            <c:ext xmlns:c16="http://schemas.microsoft.com/office/drawing/2014/chart" uri="{C3380CC4-5D6E-409C-BE32-E72D297353CC}">
              <c16:uniqueId val="{00000002-1AAD-49DA-8B7D-36234E50E95F}"/>
            </c:ext>
          </c:extLst>
        </c:ser>
        <c:dLbls>
          <c:showLegendKey val="0"/>
          <c:showVal val="0"/>
          <c:showCatName val="0"/>
          <c:showSerName val="0"/>
          <c:showPercent val="0"/>
          <c:showBubbleSize val="0"/>
        </c:dLbls>
        <c:gapWidth val="182"/>
        <c:axId val="281758704"/>
        <c:axId val="281743312"/>
      </c:barChart>
      <c:catAx>
        <c:axId val="281758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81743312"/>
        <c:crosses val="autoZero"/>
        <c:auto val="1"/>
        <c:lblAlgn val="ctr"/>
        <c:lblOffset val="100"/>
        <c:noMultiLvlLbl val="0"/>
      </c:catAx>
      <c:valAx>
        <c:axId val="2817433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81758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t>Ethnicity: combined trustee &amp; advisor groups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'Ethnic origin'!$L$17</c:f>
              <c:strCache>
                <c:ptCount val="1"/>
                <c:pt idx="0">
                  <c:v>2021</c:v>
                </c:pt>
              </c:strCache>
            </c:strRef>
          </c:tx>
          <c:spPr>
            <a:solidFill>
              <a:srgbClr val="7549B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'Ethnic origin'!$K$18:$K$19</c:f>
              <c:strCache>
                <c:ptCount val="2"/>
                <c:pt idx="0">
                  <c:v>White - English / Welsh / Scottish / Northern Irish / British; White - Irish; White - Other</c:v>
                </c:pt>
                <c:pt idx="1">
                  <c:v>Asian or Asian British; and British or Black British; and Mixed or Multiple Ethnic groups; and Other Ethnic groups*</c:v>
                </c:pt>
              </c:strCache>
            </c:strRef>
          </c:cat>
          <c:val>
            <c:numRef>
              <c:f>'Ethnic origin'!$L$18:$L$19</c:f>
              <c:numCache>
                <c:formatCode>0.00%</c:formatCode>
                <c:ptCount val="2"/>
                <c:pt idx="0">
                  <c:v>0.69230000000000003</c:v>
                </c:pt>
                <c:pt idx="1">
                  <c:v>0.30769999999999997</c:v>
                </c:pt>
              </c:numCache>
            </c:numRef>
          </c:val>
          <c:extLst>
            <c:ext xmlns:c16="http://schemas.microsoft.com/office/drawing/2014/chart" uri="{C3380CC4-5D6E-409C-BE32-E72D297353CC}">
              <c16:uniqueId val="{00000000-236B-4F3D-BB8D-56AA7C3D5EC5}"/>
            </c:ext>
          </c:extLst>
        </c:ser>
        <c:ser>
          <c:idx val="1"/>
          <c:order val="1"/>
          <c:tx>
            <c:strRef>
              <c:f>'Ethnic origin'!$M$17</c:f>
              <c:strCache>
                <c:ptCount val="1"/>
                <c:pt idx="0">
                  <c:v>2022</c:v>
                </c:pt>
              </c:strCache>
            </c:strRef>
          </c:tx>
          <c:spPr>
            <a:solidFill>
              <a:srgbClr val="0098CC"/>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'Ethnic origin'!$K$18:$K$19</c:f>
              <c:strCache>
                <c:ptCount val="2"/>
                <c:pt idx="0">
                  <c:v>White - English / Welsh / Scottish / Northern Irish / British; White - Irish; White - Other</c:v>
                </c:pt>
                <c:pt idx="1">
                  <c:v>Asian or Asian British; and British or Black British; and Mixed or Multiple Ethnic groups; and Other Ethnic groups*</c:v>
                </c:pt>
              </c:strCache>
            </c:strRef>
          </c:cat>
          <c:val>
            <c:numRef>
              <c:f>'Ethnic origin'!$M$18:$M$19</c:f>
              <c:numCache>
                <c:formatCode>0%</c:formatCode>
                <c:ptCount val="2"/>
                <c:pt idx="0">
                  <c:v>0.78</c:v>
                </c:pt>
                <c:pt idx="1">
                  <c:v>0.22</c:v>
                </c:pt>
              </c:numCache>
            </c:numRef>
          </c:val>
          <c:extLst>
            <c:ext xmlns:c16="http://schemas.microsoft.com/office/drawing/2014/chart" uri="{C3380CC4-5D6E-409C-BE32-E72D297353CC}">
              <c16:uniqueId val="{00000001-236B-4F3D-BB8D-56AA7C3D5EC5}"/>
            </c:ext>
          </c:extLst>
        </c:ser>
        <c:dLbls>
          <c:showLegendKey val="0"/>
          <c:showVal val="0"/>
          <c:showCatName val="0"/>
          <c:showSerName val="0"/>
          <c:showPercent val="0"/>
          <c:showBubbleSize val="0"/>
        </c:dLbls>
        <c:gapWidth val="182"/>
        <c:axId val="912507231"/>
        <c:axId val="912511807"/>
      </c:barChart>
      <c:catAx>
        <c:axId val="9125072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12511807"/>
        <c:crosses val="autoZero"/>
        <c:auto val="1"/>
        <c:lblAlgn val="ctr"/>
        <c:lblOffset val="100"/>
        <c:noMultiLvlLbl val="0"/>
      </c:catAx>
      <c:valAx>
        <c:axId val="912511807"/>
        <c:scaling>
          <c:orientation val="minMax"/>
        </c:scaling>
        <c:delete val="1"/>
        <c:axPos val="b"/>
        <c:numFmt formatCode="0.00%" sourceLinked="1"/>
        <c:majorTickMark val="none"/>
        <c:minorTickMark val="none"/>
        <c:tickLblPos val="nextTo"/>
        <c:crossAx val="912507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t>Sexual Orientation: Employees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'Sexual Orientation'!$L$11</c:f>
              <c:strCache>
                <c:ptCount val="1"/>
                <c:pt idx="0">
                  <c:v>2019</c:v>
                </c:pt>
              </c:strCache>
            </c:strRef>
          </c:tx>
          <c:spPr>
            <a:solidFill>
              <a:srgbClr val="AAC2C7"/>
            </a:solidFill>
            <a:ln>
              <a:noFill/>
            </a:ln>
            <a:effectLst/>
          </c:spPr>
          <c:invertIfNegative val="0"/>
          <c:cat>
            <c:strRef>
              <c:f>'Sexual Orientation'!$K$12:$K$14</c:f>
              <c:strCache>
                <c:ptCount val="3"/>
                <c:pt idx="0">
                  <c:v>Prefer not to say</c:v>
                </c:pt>
                <c:pt idx="1">
                  <c:v>Heterosexual/Straight</c:v>
                </c:pt>
                <c:pt idx="2">
                  <c:v>Bisexual; or Gay or lesbian; or Other self-described</c:v>
                </c:pt>
              </c:strCache>
            </c:strRef>
          </c:cat>
          <c:val>
            <c:numRef>
              <c:f>'Sexual Orientation'!$L$12:$L$14</c:f>
              <c:numCache>
                <c:formatCode>0%</c:formatCode>
                <c:ptCount val="3"/>
                <c:pt idx="0">
                  <c:v>0.06</c:v>
                </c:pt>
                <c:pt idx="1">
                  <c:v>0.76</c:v>
                </c:pt>
                <c:pt idx="2">
                  <c:v>0.18</c:v>
                </c:pt>
              </c:numCache>
            </c:numRef>
          </c:val>
          <c:extLst>
            <c:ext xmlns:c16="http://schemas.microsoft.com/office/drawing/2014/chart" uri="{C3380CC4-5D6E-409C-BE32-E72D297353CC}">
              <c16:uniqueId val="{00000000-871D-42F0-8B55-C109FD2BA37D}"/>
            </c:ext>
          </c:extLst>
        </c:ser>
        <c:ser>
          <c:idx val="1"/>
          <c:order val="1"/>
          <c:tx>
            <c:strRef>
              <c:f>'Sexual Orientation'!$M$11</c:f>
              <c:strCache>
                <c:ptCount val="1"/>
                <c:pt idx="0">
                  <c:v>2021</c:v>
                </c:pt>
              </c:strCache>
            </c:strRef>
          </c:tx>
          <c:spPr>
            <a:solidFill>
              <a:srgbClr val="7549B1"/>
            </a:solidFill>
            <a:ln>
              <a:noFill/>
            </a:ln>
            <a:effectLst/>
          </c:spPr>
          <c:invertIfNegative val="0"/>
          <c:cat>
            <c:strRef>
              <c:f>'Sexual Orientation'!$K$12:$K$14</c:f>
              <c:strCache>
                <c:ptCount val="3"/>
                <c:pt idx="0">
                  <c:v>Prefer not to say</c:v>
                </c:pt>
                <c:pt idx="1">
                  <c:v>Heterosexual/Straight</c:v>
                </c:pt>
                <c:pt idx="2">
                  <c:v>Bisexual; or Gay or lesbian; or Other self-described</c:v>
                </c:pt>
              </c:strCache>
            </c:strRef>
          </c:cat>
          <c:val>
            <c:numRef>
              <c:f>'Sexual Orientation'!$M$12:$M$14</c:f>
              <c:numCache>
                <c:formatCode>0%</c:formatCode>
                <c:ptCount val="3"/>
                <c:pt idx="0">
                  <c:v>0.03</c:v>
                </c:pt>
                <c:pt idx="1">
                  <c:v>0.74</c:v>
                </c:pt>
                <c:pt idx="2">
                  <c:v>0.23</c:v>
                </c:pt>
              </c:numCache>
            </c:numRef>
          </c:val>
          <c:extLst>
            <c:ext xmlns:c16="http://schemas.microsoft.com/office/drawing/2014/chart" uri="{C3380CC4-5D6E-409C-BE32-E72D297353CC}">
              <c16:uniqueId val="{00000001-871D-42F0-8B55-C109FD2BA37D}"/>
            </c:ext>
          </c:extLst>
        </c:ser>
        <c:ser>
          <c:idx val="2"/>
          <c:order val="2"/>
          <c:tx>
            <c:strRef>
              <c:f>'Sexual Orientation'!$N$11</c:f>
              <c:strCache>
                <c:ptCount val="1"/>
                <c:pt idx="0">
                  <c:v>2022</c:v>
                </c:pt>
              </c:strCache>
            </c:strRef>
          </c:tx>
          <c:spPr>
            <a:solidFill>
              <a:srgbClr val="0098CC"/>
            </a:solidFill>
            <a:ln>
              <a:noFill/>
            </a:ln>
            <a:effectLst/>
          </c:spPr>
          <c:invertIfNegative val="0"/>
          <c:cat>
            <c:strRef>
              <c:f>'Sexual Orientation'!$K$12:$K$14</c:f>
              <c:strCache>
                <c:ptCount val="3"/>
                <c:pt idx="0">
                  <c:v>Prefer not to say</c:v>
                </c:pt>
                <c:pt idx="1">
                  <c:v>Heterosexual/Straight</c:v>
                </c:pt>
                <c:pt idx="2">
                  <c:v>Bisexual; or Gay or lesbian; or Other self-described</c:v>
                </c:pt>
              </c:strCache>
            </c:strRef>
          </c:cat>
          <c:val>
            <c:numRef>
              <c:f>'Sexual Orientation'!$N$12:$N$14</c:f>
              <c:numCache>
                <c:formatCode>0%</c:formatCode>
                <c:ptCount val="3"/>
                <c:pt idx="0">
                  <c:v>0</c:v>
                </c:pt>
                <c:pt idx="1">
                  <c:v>0.74</c:v>
                </c:pt>
                <c:pt idx="2">
                  <c:v>0.26</c:v>
                </c:pt>
              </c:numCache>
            </c:numRef>
          </c:val>
          <c:extLst>
            <c:ext xmlns:c16="http://schemas.microsoft.com/office/drawing/2014/chart" uri="{C3380CC4-5D6E-409C-BE32-E72D297353CC}">
              <c16:uniqueId val="{00000002-871D-42F0-8B55-C109FD2BA37D}"/>
            </c:ext>
          </c:extLst>
        </c:ser>
        <c:dLbls>
          <c:showLegendKey val="0"/>
          <c:showVal val="0"/>
          <c:showCatName val="0"/>
          <c:showSerName val="0"/>
          <c:showPercent val="0"/>
          <c:showBubbleSize val="0"/>
        </c:dLbls>
        <c:gapWidth val="182"/>
        <c:axId val="281782832"/>
        <c:axId val="281789904"/>
      </c:barChart>
      <c:catAx>
        <c:axId val="281782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81789904"/>
        <c:crosses val="autoZero"/>
        <c:auto val="1"/>
        <c:lblAlgn val="ctr"/>
        <c:lblOffset val="100"/>
        <c:noMultiLvlLbl val="0"/>
      </c:catAx>
      <c:valAx>
        <c:axId val="2817899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81782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t>Religion or belief: Employees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Religion!$B$27</c:f>
              <c:strCache>
                <c:ptCount val="1"/>
                <c:pt idx="0">
                  <c:v>2021</c:v>
                </c:pt>
              </c:strCache>
            </c:strRef>
          </c:tx>
          <c:spPr>
            <a:solidFill>
              <a:srgbClr val="7549B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Religion!$A$28:$A$30</c:f>
              <c:strCache>
                <c:ptCount val="3"/>
                <c:pt idx="0">
                  <c:v>Prefer not to say</c:v>
                </c:pt>
                <c:pt idx="1">
                  <c:v>No religion or belief</c:v>
                </c:pt>
                <c:pt idx="2">
                  <c:v>Buddhist; or Christian; or Jewish; or Muslim; or Other</c:v>
                </c:pt>
              </c:strCache>
            </c:strRef>
          </c:cat>
          <c:val>
            <c:numRef>
              <c:f>Religion!$B$28:$B$30</c:f>
              <c:numCache>
                <c:formatCode>0%</c:formatCode>
                <c:ptCount val="3"/>
                <c:pt idx="0">
                  <c:v>0.03</c:v>
                </c:pt>
                <c:pt idx="1">
                  <c:v>0.62</c:v>
                </c:pt>
                <c:pt idx="2">
                  <c:v>0.36</c:v>
                </c:pt>
              </c:numCache>
            </c:numRef>
          </c:val>
          <c:extLst>
            <c:ext xmlns:c16="http://schemas.microsoft.com/office/drawing/2014/chart" uri="{C3380CC4-5D6E-409C-BE32-E72D297353CC}">
              <c16:uniqueId val="{00000000-5455-449B-842C-47EE26106A8E}"/>
            </c:ext>
          </c:extLst>
        </c:ser>
        <c:ser>
          <c:idx val="1"/>
          <c:order val="1"/>
          <c:tx>
            <c:strRef>
              <c:f>Religion!$C$27</c:f>
              <c:strCache>
                <c:ptCount val="1"/>
                <c:pt idx="0">
                  <c:v>2022</c:v>
                </c:pt>
              </c:strCache>
            </c:strRef>
          </c:tx>
          <c:spPr>
            <a:solidFill>
              <a:srgbClr val="0098CC"/>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Religion!$A$28:$A$30</c:f>
              <c:strCache>
                <c:ptCount val="3"/>
                <c:pt idx="0">
                  <c:v>Prefer not to say</c:v>
                </c:pt>
                <c:pt idx="1">
                  <c:v>No religion or belief</c:v>
                </c:pt>
                <c:pt idx="2">
                  <c:v>Buddhist; or Christian; or Jewish; or Muslim; or Other</c:v>
                </c:pt>
              </c:strCache>
            </c:strRef>
          </c:cat>
          <c:val>
            <c:numRef>
              <c:f>Religion!$C$28:$C$30</c:f>
              <c:numCache>
                <c:formatCode>0%</c:formatCode>
                <c:ptCount val="3"/>
                <c:pt idx="0">
                  <c:v>0.11</c:v>
                </c:pt>
                <c:pt idx="1">
                  <c:v>0.66</c:v>
                </c:pt>
                <c:pt idx="2">
                  <c:v>0.23</c:v>
                </c:pt>
              </c:numCache>
            </c:numRef>
          </c:val>
          <c:extLst>
            <c:ext xmlns:c16="http://schemas.microsoft.com/office/drawing/2014/chart" uri="{C3380CC4-5D6E-409C-BE32-E72D297353CC}">
              <c16:uniqueId val="{00000001-5455-449B-842C-47EE26106A8E}"/>
            </c:ext>
          </c:extLst>
        </c:ser>
        <c:dLbls>
          <c:showLegendKey val="0"/>
          <c:showVal val="0"/>
          <c:showCatName val="0"/>
          <c:showSerName val="0"/>
          <c:showPercent val="0"/>
          <c:showBubbleSize val="0"/>
        </c:dLbls>
        <c:gapWidth val="182"/>
        <c:axId val="1178636751"/>
        <c:axId val="1178652143"/>
      </c:barChart>
      <c:catAx>
        <c:axId val="11786367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8652143"/>
        <c:crosses val="autoZero"/>
        <c:auto val="1"/>
        <c:lblAlgn val="ctr"/>
        <c:lblOffset val="100"/>
        <c:noMultiLvlLbl val="0"/>
      </c:catAx>
      <c:valAx>
        <c:axId val="1178652143"/>
        <c:scaling>
          <c:orientation val="minMax"/>
        </c:scaling>
        <c:delete val="1"/>
        <c:axPos val="b"/>
        <c:numFmt formatCode="0%" sourceLinked="1"/>
        <c:majorTickMark val="none"/>
        <c:minorTickMark val="none"/>
        <c:tickLblPos val="nextTo"/>
        <c:crossAx val="1178636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Year on year</a:t>
            </a:r>
            <a:r>
              <a:rPr lang="en-GB" sz="1200" baseline="0">
                <a:latin typeface="Arial" panose="020B0604020202020204" pitchFamily="34" charset="0"/>
                <a:cs typeface="Arial" panose="020B0604020202020204" pitchFamily="34" charset="0"/>
              </a:rPr>
              <a:t> participation comparison</a:t>
            </a:r>
            <a:endParaRPr lang="en-GB" sz="1200">
              <a:latin typeface="Arial" panose="020B0604020202020204" pitchFamily="34" charset="0"/>
              <a:cs typeface="Arial" panose="020B0604020202020204" pitchFamily="34" charset="0"/>
            </a:endParaRPr>
          </a:p>
        </c:rich>
      </c:tx>
      <c:layout>
        <c:manualLayout>
          <c:xMode val="edge"/>
          <c:yMode val="edge"/>
          <c:x val="0.23266616096325815"/>
          <c:y val="5.0403225806451612E-3"/>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2.1680216802168022E-3"/>
          <c:y val="8.9583333333333334E-2"/>
          <c:w val="0.99783197831978321"/>
          <c:h val="0.84503161536626104"/>
        </c:manualLayout>
      </c:layout>
      <c:barChart>
        <c:barDir val="col"/>
        <c:grouping val="clustered"/>
        <c:varyColors val="0"/>
        <c:ser>
          <c:idx val="0"/>
          <c:order val="0"/>
          <c:tx>
            <c:strRef>
              <c:f>Sheet1!$B$1</c:f>
              <c:strCache>
                <c:ptCount val="1"/>
                <c:pt idx="0">
                  <c:v>Employees</c:v>
                </c:pt>
              </c:strCache>
            </c:strRef>
          </c:tx>
          <c:spPr>
            <a:solidFill>
              <a:srgbClr val="AAC2C7"/>
            </a:solidFill>
            <a:ln>
              <a:noFill/>
            </a:ln>
            <a:effectLst/>
          </c:spPr>
          <c:invertIfNegative val="0"/>
          <c:dPt>
            <c:idx val="0"/>
            <c:invertIfNegative val="0"/>
            <c:bubble3D val="0"/>
            <c:spPr>
              <a:solidFill>
                <a:srgbClr val="0098CC"/>
              </a:solidFill>
              <a:ln>
                <a:noFill/>
              </a:ln>
              <a:effectLst/>
            </c:spPr>
            <c:extLst>
              <c:ext xmlns:c16="http://schemas.microsoft.com/office/drawing/2014/chart" uri="{C3380CC4-5D6E-409C-BE32-E72D297353CC}">
                <c16:uniqueId val="{00000001-A155-4C39-A3E9-08F50965B1A1}"/>
              </c:ext>
            </c:extLst>
          </c:dPt>
          <c:dPt>
            <c:idx val="1"/>
            <c:invertIfNegative val="0"/>
            <c:bubble3D val="0"/>
            <c:spPr>
              <a:solidFill>
                <a:srgbClr val="AB007D"/>
              </a:solidFill>
              <a:ln>
                <a:noFill/>
              </a:ln>
              <a:effectLst/>
            </c:spPr>
            <c:extLst>
              <c:ext xmlns:c16="http://schemas.microsoft.com/office/drawing/2014/chart" uri="{C3380CC4-5D6E-409C-BE32-E72D297353CC}">
                <c16:uniqueId val="{00000003-A155-4C39-A3E9-08F50965B1A1}"/>
              </c:ext>
            </c:extLst>
          </c:dPt>
          <c:dLbls>
            <c:dLbl>
              <c:idx val="0"/>
              <c:layout>
                <c:manualLayout>
                  <c:x val="-4.7174648516576179E-3"/>
                  <c:y val="3.2051324345206536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1"/>
              <c:showPercent val="0"/>
              <c:showBubbleSize val="0"/>
              <c:extLst>
                <c:ext xmlns:c15="http://schemas.microsoft.com/office/drawing/2012/chart" uri="{CE6537A1-D6FC-4f65-9D91-7224C49458BB}">
                  <c15:layout>
                    <c:manualLayout>
                      <c:w val="0.16091446513111093"/>
                      <c:h val="0.1412716198936671"/>
                    </c:manualLayout>
                  </c15:layout>
                </c:ext>
                <c:ext xmlns:c16="http://schemas.microsoft.com/office/drawing/2014/chart" uri="{C3380CC4-5D6E-409C-BE32-E72D297353CC}">
                  <c16:uniqueId val="{00000001-A155-4C39-A3E9-08F50965B1A1}"/>
                </c:ext>
              </c:extLst>
            </c:dLbl>
            <c:dLbl>
              <c:idx val="1"/>
              <c:layout>
                <c:manualLayout>
                  <c:x val="-7.3494671757828008E-3"/>
                  <c:y val="3.8461658665323945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1"/>
              <c:showPercent val="0"/>
              <c:showBubbleSize val="0"/>
              <c:extLst>
                <c:ext xmlns:c15="http://schemas.microsoft.com/office/drawing/2012/chart" uri="{CE6537A1-D6FC-4f65-9D91-7224C49458BB}">
                  <c15:layout>
                    <c:manualLayout>
                      <c:w val="0.15027390648636951"/>
                      <c:h val="0.13758570696854736"/>
                    </c:manualLayout>
                  </c15:layout>
                </c:ext>
                <c:ext xmlns:c16="http://schemas.microsoft.com/office/drawing/2014/chart" uri="{C3380CC4-5D6E-409C-BE32-E72D297353CC}">
                  <c16:uniqueId val="{00000003-A155-4C39-A3E9-08F50965B1A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2022</c:v>
                </c:pt>
                <c:pt idx="1">
                  <c:v>2021</c:v>
                </c:pt>
              </c:numCache>
            </c:numRef>
          </c:cat>
          <c:val>
            <c:numRef>
              <c:f>Sheet1!$B$2:$B$3</c:f>
              <c:numCache>
                <c:formatCode>0%</c:formatCode>
                <c:ptCount val="2"/>
                <c:pt idx="0">
                  <c:v>0.71</c:v>
                </c:pt>
                <c:pt idx="1">
                  <c:v>0.81</c:v>
                </c:pt>
              </c:numCache>
            </c:numRef>
          </c:val>
          <c:extLst>
            <c:ext xmlns:c16="http://schemas.microsoft.com/office/drawing/2014/chart" uri="{C3380CC4-5D6E-409C-BE32-E72D297353CC}">
              <c16:uniqueId val="{00000004-A155-4C39-A3E9-08F50965B1A1}"/>
            </c:ext>
          </c:extLst>
        </c:ser>
        <c:ser>
          <c:idx val="1"/>
          <c:order val="1"/>
          <c:tx>
            <c:strRef>
              <c:f>Sheet1!$C$1</c:f>
              <c:strCache>
                <c:ptCount val="1"/>
                <c:pt idx="0">
                  <c:v>Trustees</c:v>
                </c:pt>
              </c:strCache>
            </c:strRef>
          </c:tx>
          <c:spPr>
            <a:solidFill>
              <a:srgbClr val="33818F"/>
            </a:solidFill>
            <a:ln>
              <a:noFill/>
            </a:ln>
            <a:effectLst/>
          </c:spPr>
          <c:invertIfNegative val="0"/>
          <c:dPt>
            <c:idx val="0"/>
            <c:invertIfNegative val="0"/>
            <c:bubble3D val="0"/>
            <c:spPr>
              <a:solidFill>
                <a:srgbClr val="5B9636"/>
              </a:solidFill>
              <a:ln>
                <a:noFill/>
              </a:ln>
              <a:effectLst/>
            </c:spPr>
            <c:extLst>
              <c:ext xmlns:c16="http://schemas.microsoft.com/office/drawing/2014/chart" uri="{C3380CC4-5D6E-409C-BE32-E72D297353CC}">
                <c16:uniqueId val="{00000006-A155-4C39-A3E9-08F50965B1A1}"/>
              </c:ext>
            </c:extLst>
          </c:dPt>
          <c:dPt>
            <c:idx val="1"/>
            <c:invertIfNegative val="0"/>
            <c:bubble3D val="0"/>
            <c:spPr>
              <a:solidFill>
                <a:srgbClr val="33818F"/>
              </a:solidFill>
              <a:ln>
                <a:noFill/>
              </a:ln>
              <a:effectLst/>
            </c:spPr>
            <c:extLst>
              <c:ext xmlns:c16="http://schemas.microsoft.com/office/drawing/2014/chart" uri="{C3380CC4-5D6E-409C-BE32-E72D297353CC}">
                <c16:uniqueId val="{00000008-A155-4C39-A3E9-08F50965B1A1}"/>
              </c:ext>
            </c:extLst>
          </c:dPt>
          <c:dLbls>
            <c:dLbl>
              <c:idx val="1"/>
              <c:layout>
                <c:manualLayout>
                  <c:x val="2.6458915184477329E-2"/>
                  <c:y val="0"/>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8-A155-4C39-A3E9-08F50965B1A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2022</c:v>
                </c:pt>
                <c:pt idx="1">
                  <c:v>2021</c:v>
                </c:pt>
              </c:numCache>
            </c:numRef>
          </c:cat>
          <c:val>
            <c:numRef>
              <c:f>Sheet1!$C$2:$C$3</c:f>
              <c:numCache>
                <c:formatCode>0%</c:formatCode>
                <c:ptCount val="2"/>
                <c:pt idx="0">
                  <c:v>0.91</c:v>
                </c:pt>
                <c:pt idx="1">
                  <c:v>0.7</c:v>
                </c:pt>
              </c:numCache>
            </c:numRef>
          </c:val>
          <c:extLst>
            <c:ext xmlns:c16="http://schemas.microsoft.com/office/drawing/2014/chart" uri="{C3380CC4-5D6E-409C-BE32-E72D297353CC}">
              <c16:uniqueId val="{00000009-A155-4C39-A3E9-08F50965B1A1}"/>
            </c:ext>
          </c:extLst>
        </c:ser>
        <c:ser>
          <c:idx val="2"/>
          <c:order val="2"/>
          <c:tx>
            <c:strRef>
              <c:f>Sheet1!$D$1</c:f>
              <c:strCache>
                <c:ptCount val="1"/>
                <c:pt idx="0">
                  <c:v>Advisors</c:v>
                </c:pt>
              </c:strCache>
            </c:strRef>
          </c:tx>
          <c:spPr>
            <a:solidFill>
              <a:srgbClr val="4D647C"/>
            </a:solidFill>
            <a:ln>
              <a:noFill/>
            </a:ln>
            <a:effectLst/>
          </c:spPr>
          <c:invertIfNegative val="0"/>
          <c:dPt>
            <c:idx val="0"/>
            <c:invertIfNegative val="0"/>
            <c:bubble3D val="0"/>
            <c:spPr>
              <a:solidFill>
                <a:srgbClr val="4D647C"/>
              </a:solidFill>
              <a:ln>
                <a:noFill/>
              </a:ln>
              <a:effectLst/>
            </c:spPr>
            <c:extLst>
              <c:ext xmlns:c16="http://schemas.microsoft.com/office/drawing/2014/chart" uri="{C3380CC4-5D6E-409C-BE32-E72D297353CC}">
                <c16:uniqueId val="{0000000B-A155-4C39-A3E9-08F50965B1A1}"/>
              </c:ext>
            </c:extLst>
          </c:dPt>
          <c:dPt>
            <c:idx val="1"/>
            <c:invertIfNegative val="0"/>
            <c:bubble3D val="0"/>
            <c:spPr>
              <a:solidFill>
                <a:srgbClr val="7549B1"/>
              </a:solidFill>
              <a:ln>
                <a:noFill/>
              </a:ln>
              <a:effectLst/>
            </c:spPr>
            <c:extLst>
              <c:ext xmlns:c16="http://schemas.microsoft.com/office/drawing/2014/chart" uri="{C3380CC4-5D6E-409C-BE32-E72D297353CC}">
                <c16:uniqueId val="{0000000D-A155-4C39-A3E9-08F50965B1A1}"/>
              </c:ext>
            </c:extLst>
          </c:dPt>
          <c:dLbls>
            <c:dLbl>
              <c:idx val="0"/>
              <c:layout>
                <c:manualLayout>
                  <c:x val="1.763927678965168E-2"/>
                  <c:y val="-8.0851693704735569E-17"/>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B-A155-4C39-A3E9-08F50965B1A1}"/>
                </c:ext>
              </c:extLst>
            </c:dLbl>
            <c:dLbl>
              <c:idx val="1"/>
              <c:layout>
                <c:manualLayout>
                  <c:x val="2.0579156254593563E-2"/>
                  <c:y val="8.0851693704735569E-17"/>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D-A155-4C39-A3E9-08F50965B1A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2022</c:v>
                </c:pt>
                <c:pt idx="1">
                  <c:v>2021</c:v>
                </c:pt>
              </c:numCache>
            </c:numRef>
          </c:cat>
          <c:val>
            <c:numRef>
              <c:f>Sheet1!$D$2:$D$3</c:f>
              <c:numCache>
                <c:formatCode>0%</c:formatCode>
                <c:ptCount val="2"/>
                <c:pt idx="0">
                  <c:v>0.53</c:v>
                </c:pt>
                <c:pt idx="1">
                  <c:v>0.28999999999999998</c:v>
                </c:pt>
              </c:numCache>
            </c:numRef>
          </c:val>
          <c:extLst>
            <c:ext xmlns:c16="http://schemas.microsoft.com/office/drawing/2014/chart" uri="{C3380CC4-5D6E-409C-BE32-E72D297353CC}">
              <c16:uniqueId val="{0000000E-A155-4C39-A3E9-08F50965B1A1}"/>
            </c:ext>
          </c:extLst>
        </c:ser>
        <c:dLbls>
          <c:showLegendKey val="0"/>
          <c:showVal val="0"/>
          <c:showCatName val="0"/>
          <c:showSerName val="0"/>
          <c:showPercent val="0"/>
          <c:showBubbleSize val="0"/>
        </c:dLbls>
        <c:gapWidth val="219"/>
        <c:overlap val="-27"/>
        <c:axId val="381039200"/>
        <c:axId val="381041280"/>
      </c:barChart>
      <c:catAx>
        <c:axId val="3810392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81041280"/>
        <c:crosses val="autoZero"/>
        <c:auto val="1"/>
        <c:lblAlgn val="ctr"/>
        <c:lblOffset val="100"/>
        <c:noMultiLvlLbl val="0"/>
      </c:catAx>
      <c:valAx>
        <c:axId val="381041280"/>
        <c:scaling>
          <c:orientation val="minMax"/>
        </c:scaling>
        <c:delete val="1"/>
        <c:axPos val="l"/>
        <c:numFmt formatCode="0%" sourceLinked="1"/>
        <c:majorTickMark val="out"/>
        <c:minorTickMark val="none"/>
        <c:tickLblPos val="nextTo"/>
        <c:crossAx val="381039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Sex ratio: employee</a:t>
            </a:r>
            <a:r>
              <a:rPr lang="en-GB" sz="1200" baseline="0">
                <a:latin typeface="Arial" panose="020B0604020202020204" pitchFamily="34" charset="0"/>
                <a:cs typeface="Arial" panose="020B0604020202020204" pitchFamily="34" charset="0"/>
              </a:rPr>
              <a:t> group</a:t>
            </a:r>
            <a:endParaRPr lang="en-GB" sz="120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Sex!$P$2</c:f>
              <c:strCache>
                <c:ptCount val="1"/>
                <c:pt idx="0">
                  <c:v>Female</c:v>
                </c:pt>
              </c:strCache>
            </c:strRef>
          </c:tx>
          <c:spPr>
            <a:solidFill>
              <a:srgbClr val="7549B1"/>
            </a:solidFill>
            <a:ln>
              <a:noFill/>
            </a:ln>
            <a:effectLst/>
          </c:spPr>
          <c:invertIfNegative val="0"/>
          <c:dPt>
            <c:idx val="0"/>
            <c:invertIfNegative val="0"/>
            <c:bubble3D val="0"/>
            <c:spPr>
              <a:solidFill>
                <a:srgbClr val="5B9636"/>
              </a:solidFill>
              <a:ln>
                <a:noFill/>
              </a:ln>
              <a:effectLst/>
            </c:spPr>
            <c:extLst>
              <c:ext xmlns:c16="http://schemas.microsoft.com/office/drawing/2014/chart" uri="{C3380CC4-5D6E-409C-BE32-E72D297353CC}">
                <c16:uniqueId val="{00000001-D187-4065-ACEB-86E66A6F9267}"/>
              </c:ext>
            </c:extLst>
          </c:dPt>
          <c:dPt>
            <c:idx val="1"/>
            <c:invertIfNegative val="0"/>
            <c:bubble3D val="0"/>
            <c:spPr>
              <a:solidFill>
                <a:srgbClr val="AB007D"/>
              </a:solidFill>
              <a:ln>
                <a:noFill/>
              </a:ln>
              <a:effectLst/>
            </c:spPr>
            <c:extLst>
              <c:ext xmlns:c16="http://schemas.microsoft.com/office/drawing/2014/chart" uri="{C3380CC4-5D6E-409C-BE32-E72D297353CC}">
                <c16:uniqueId val="{00000003-D187-4065-ACEB-86E66A6F9267}"/>
              </c:ext>
            </c:extLst>
          </c:dPt>
          <c:dPt>
            <c:idx val="2"/>
            <c:invertIfNegative val="0"/>
            <c:bubble3D val="0"/>
            <c:spPr>
              <a:solidFill>
                <a:srgbClr val="AAC2C7"/>
              </a:solidFill>
              <a:ln>
                <a:noFill/>
              </a:ln>
              <a:effectLst/>
            </c:spPr>
            <c:extLst>
              <c:ext xmlns:c16="http://schemas.microsoft.com/office/drawing/2014/chart" uri="{C3380CC4-5D6E-409C-BE32-E72D297353CC}">
                <c16:uniqueId val="{00000005-D187-4065-ACEB-86E66A6F9267}"/>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Sex!$Q$1:$S$1</c:f>
              <c:strCache>
                <c:ptCount val="3"/>
                <c:pt idx="0">
                  <c:v>2022</c:v>
                </c:pt>
                <c:pt idx="1">
                  <c:v>2021</c:v>
                </c:pt>
                <c:pt idx="2">
                  <c:v>2019</c:v>
                </c:pt>
              </c:strCache>
            </c:strRef>
          </c:cat>
          <c:val>
            <c:numRef>
              <c:f>Sex!$Q$2:$S$2</c:f>
              <c:numCache>
                <c:formatCode>0%</c:formatCode>
                <c:ptCount val="3"/>
                <c:pt idx="0">
                  <c:v>0.74285714285714299</c:v>
                </c:pt>
                <c:pt idx="1">
                  <c:v>0.76923076923076927</c:v>
                </c:pt>
                <c:pt idx="2">
                  <c:v>0.7</c:v>
                </c:pt>
              </c:numCache>
            </c:numRef>
          </c:val>
          <c:extLst>
            <c:ext xmlns:c16="http://schemas.microsoft.com/office/drawing/2014/chart" uri="{C3380CC4-5D6E-409C-BE32-E72D297353CC}">
              <c16:uniqueId val="{00000006-D187-4065-ACEB-86E66A6F9267}"/>
            </c:ext>
          </c:extLst>
        </c:ser>
        <c:ser>
          <c:idx val="1"/>
          <c:order val="1"/>
          <c:tx>
            <c:strRef>
              <c:f>Sex!$P$3</c:f>
              <c:strCache>
                <c:ptCount val="1"/>
                <c:pt idx="0">
                  <c:v>Male</c:v>
                </c:pt>
              </c:strCache>
            </c:strRef>
          </c:tx>
          <c:spPr>
            <a:solidFill>
              <a:srgbClr val="0098CC"/>
            </a:solidFill>
            <a:ln>
              <a:noFill/>
            </a:ln>
            <a:effectLst/>
          </c:spPr>
          <c:invertIfNegative val="0"/>
          <c:dPt>
            <c:idx val="0"/>
            <c:invertIfNegative val="0"/>
            <c:bubble3D val="0"/>
            <c:extLst>
              <c:ext xmlns:c16="http://schemas.microsoft.com/office/drawing/2014/chart" uri="{C3380CC4-5D6E-409C-BE32-E72D297353CC}">
                <c16:uniqueId val="{00000008-D187-4065-ACEB-86E66A6F9267}"/>
              </c:ext>
            </c:extLst>
          </c:dPt>
          <c:dPt>
            <c:idx val="1"/>
            <c:invertIfNegative val="0"/>
            <c:bubble3D val="0"/>
            <c:spPr>
              <a:solidFill>
                <a:srgbClr val="7549B1"/>
              </a:solidFill>
              <a:ln>
                <a:noFill/>
              </a:ln>
              <a:effectLst/>
            </c:spPr>
            <c:extLst>
              <c:ext xmlns:c16="http://schemas.microsoft.com/office/drawing/2014/chart" uri="{C3380CC4-5D6E-409C-BE32-E72D297353CC}">
                <c16:uniqueId val="{0000000A-D187-4065-ACEB-86E66A6F9267}"/>
              </c:ext>
            </c:extLst>
          </c:dPt>
          <c:dPt>
            <c:idx val="2"/>
            <c:invertIfNegative val="0"/>
            <c:bubble3D val="0"/>
            <c:spPr>
              <a:solidFill>
                <a:srgbClr val="33818F"/>
              </a:solidFill>
              <a:ln>
                <a:noFill/>
              </a:ln>
              <a:effectLst/>
            </c:spPr>
            <c:extLst>
              <c:ext xmlns:c16="http://schemas.microsoft.com/office/drawing/2014/chart" uri="{C3380CC4-5D6E-409C-BE32-E72D297353CC}">
                <c16:uniqueId val="{0000000C-D187-4065-ACEB-86E66A6F9267}"/>
              </c:ext>
            </c:extLst>
          </c:dPt>
          <c:dLbls>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1"/>
              <c:showPercent val="0"/>
              <c:showBubbleSize val="0"/>
              <c:extLst>
                <c:ext xmlns:c16="http://schemas.microsoft.com/office/drawing/2014/chart" uri="{C3380CC4-5D6E-409C-BE32-E72D297353CC}">
                  <c16:uniqueId val="{00000008-D187-4065-ACEB-86E66A6F9267}"/>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Sex!$Q$1:$S$1</c:f>
              <c:strCache>
                <c:ptCount val="3"/>
                <c:pt idx="0">
                  <c:v>2022</c:v>
                </c:pt>
                <c:pt idx="1">
                  <c:v>2021</c:v>
                </c:pt>
                <c:pt idx="2">
                  <c:v>2019</c:v>
                </c:pt>
              </c:strCache>
            </c:strRef>
          </c:cat>
          <c:val>
            <c:numRef>
              <c:f>Sex!$Q$3:$S$3</c:f>
              <c:numCache>
                <c:formatCode>0%</c:formatCode>
                <c:ptCount val="3"/>
                <c:pt idx="0">
                  <c:v>0.25714285714285712</c:v>
                </c:pt>
                <c:pt idx="1">
                  <c:v>0.23076923076923078</c:v>
                </c:pt>
                <c:pt idx="2">
                  <c:v>0.3</c:v>
                </c:pt>
              </c:numCache>
            </c:numRef>
          </c:val>
          <c:extLst>
            <c:ext xmlns:c16="http://schemas.microsoft.com/office/drawing/2014/chart" uri="{C3380CC4-5D6E-409C-BE32-E72D297353CC}">
              <c16:uniqueId val="{0000000D-D187-4065-ACEB-86E66A6F9267}"/>
            </c:ext>
          </c:extLst>
        </c:ser>
        <c:dLbls>
          <c:showLegendKey val="0"/>
          <c:showVal val="0"/>
          <c:showCatName val="0"/>
          <c:showSerName val="0"/>
          <c:showPercent val="0"/>
          <c:showBubbleSize val="0"/>
        </c:dLbls>
        <c:gapWidth val="219"/>
        <c:overlap val="-27"/>
        <c:axId val="833493951"/>
        <c:axId val="833492287"/>
        <c:extLst>
          <c:ext xmlns:c15="http://schemas.microsoft.com/office/drawing/2012/chart" uri="{02D57815-91ED-43cb-92C2-25804820EDAC}">
            <c15:filteredBarSeries>
              <c15:ser>
                <c:idx val="2"/>
                <c:order val="2"/>
                <c:tx>
                  <c:strRef>
                    <c:extLst>
                      <c:ext uri="{02D57815-91ED-43cb-92C2-25804820EDAC}">
                        <c15:formulaRef>
                          <c15:sqref>Sex!$P$4</c15:sqref>
                        </c15:formulaRef>
                      </c:ext>
                    </c:extLst>
                    <c:strCache>
                      <c:ptCount val="1"/>
                    </c:strCache>
                  </c:strRef>
                </c:tx>
                <c:spPr>
                  <a:solidFill>
                    <a:schemeClr val="accent3"/>
                  </a:solidFill>
                  <a:ln>
                    <a:noFill/>
                  </a:ln>
                  <a:effectLst/>
                </c:spPr>
                <c:invertIfNegative val="0"/>
                <c:cat>
                  <c:strRef>
                    <c:extLst>
                      <c:ext uri="{02D57815-91ED-43cb-92C2-25804820EDAC}">
                        <c15:formulaRef>
                          <c15:sqref>Sex!$Q$1:$S$1</c15:sqref>
                        </c15:formulaRef>
                      </c:ext>
                    </c:extLst>
                    <c:strCache>
                      <c:ptCount val="3"/>
                      <c:pt idx="0">
                        <c:v>2022</c:v>
                      </c:pt>
                      <c:pt idx="1">
                        <c:v>2021</c:v>
                      </c:pt>
                      <c:pt idx="2">
                        <c:v>2019</c:v>
                      </c:pt>
                    </c:strCache>
                  </c:strRef>
                </c:cat>
                <c:val>
                  <c:numRef>
                    <c:extLst>
                      <c:ext uri="{02D57815-91ED-43cb-92C2-25804820EDAC}">
                        <c15:formulaRef>
                          <c15:sqref>Sex!$Q$4:$S$4</c15:sqref>
                        </c15:formulaRef>
                      </c:ext>
                    </c:extLst>
                    <c:numCache>
                      <c:formatCode>General</c:formatCode>
                      <c:ptCount val="3"/>
                    </c:numCache>
                  </c:numRef>
                </c:val>
                <c:extLst>
                  <c:ext xmlns:c16="http://schemas.microsoft.com/office/drawing/2014/chart" uri="{C3380CC4-5D6E-409C-BE32-E72D297353CC}">
                    <c16:uniqueId val="{0000000E-D187-4065-ACEB-86E66A6F9267}"/>
                  </c:ext>
                </c:extLst>
              </c15:ser>
            </c15:filteredBarSeries>
          </c:ext>
        </c:extLst>
      </c:barChart>
      <c:catAx>
        <c:axId val="83349395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33492287"/>
        <c:crosses val="autoZero"/>
        <c:auto val="1"/>
        <c:lblAlgn val="ctr"/>
        <c:lblOffset val="100"/>
        <c:noMultiLvlLbl val="0"/>
      </c:catAx>
      <c:valAx>
        <c:axId val="833492287"/>
        <c:scaling>
          <c:orientation val="minMax"/>
        </c:scaling>
        <c:delete val="1"/>
        <c:axPos val="l"/>
        <c:numFmt formatCode="0%" sourceLinked="1"/>
        <c:majorTickMark val="out"/>
        <c:minorTickMark val="none"/>
        <c:tickLblPos val="nextTo"/>
        <c:crossAx val="8334939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Sex ratio: combined advisor and trustee group</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Sex!$AE$2</c:f>
              <c:strCache>
                <c:ptCount val="1"/>
                <c:pt idx="0">
                  <c:v>Female</c:v>
                </c:pt>
              </c:strCache>
            </c:strRef>
          </c:tx>
          <c:spPr>
            <a:solidFill>
              <a:srgbClr val="7549B1"/>
            </a:solidFill>
            <a:ln>
              <a:noFill/>
            </a:ln>
            <a:effectLst/>
          </c:spPr>
          <c:invertIfNegative val="0"/>
          <c:dPt>
            <c:idx val="0"/>
            <c:invertIfNegative val="0"/>
            <c:bubble3D val="0"/>
            <c:spPr>
              <a:solidFill>
                <a:srgbClr val="5B9636"/>
              </a:solidFill>
              <a:ln>
                <a:noFill/>
              </a:ln>
              <a:effectLst/>
            </c:spPr>
            <c:extLst>
              <c:ext xmlns:c16="http://schemas.microsoft.com/office/drawing/2014/chart" uri="{C3380CC4-5D6E-409C-BE32-E72D297353CC}">
                <c16:uniqueId val="{00000001-9CC0-4138-BC5A-B6AAEBB9F75D}"/>
              </c:ext>
            </c:extLst>
          </c:dPt>
          <c:dPt>
            <c:idx val="1"/>
            <c:invertIfNegative val="0"/>
            <c:bubble3D val="0"/>
            <c:spPr>
              <a:solidFill>
                <a:srgbClr val="AB007D"/>
              </a:solidFill>
              <a:ln>
                <a:noFill/>
              </a:ln>
              <a:effectLst/>
            </c:spPr>
            <c:extLst>
              <c:ext xmlns:c16="http://schemas.microsoft.com/office/drawing/2014/chart" uri="{C3380CC4-5D6E-409C-BE32-E72D297353CC}">
                <c16:uniqueId val="{00000003-9CC0-4138-BC5A-B6AAEBB9F75D}"/>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Sex!$AF$1:$AG$1</c:f>
              <c:numCache>
                <c:formatCode>General</c:formatCode>
                <c:ptCount val="2"/>
                <c:pt idx="0">
                  <c:v>2022</c:v>
                </c:pt>
                <c:pt idx="1">
                  <c:v>2021</c:v>
                </c:pt>
              </c:numCache>
            </c:numRef>
          </c:cat>
          <c:val>
            <c:numRef>
              <c:f>Sex!$AF$2:$AG$2</c:f>
              <c:numCache>
                <c:formatCode>0%</c:formatCode>
                <c:ptCount val="2"/>
                <c:pt idx="0">
                  <c:v>0.55555555555555558</c:v>
                </c:pt>
                <c:pt idx="1">
                  <c:v>0.30769230769230771</c:v>
                </c:pt>
              </c:numCache>
            </c:numRef>
          </c:val>
          <c:extLst>
            <c:ext xmlns:c16="http://schemas.microsoft.com/office/drawing/2014/chart" uri="{C3380CC4-5D6E-409C-BE32-E72D297353CC}">
              <c16:uniqueId val="{00000004-9CC0-4138-BC5A-B6AAEBB9F75D}"/>
            </c:ext>
          </c:extLst>
        </c:ser>
        <c:ser>
          <c:idx val="1"/>
          <c:order val="1"/>
          <c:tx>
            <c:strRef>
              <c:f>Sex!$AE$3</c:f>
              <c:strCache>
                <c:ptCount val="1"/>
                <c:pt idx="0">
                  <c:v>Male</c:v>
                </c:pt>
              </c:strCache>
            </c:strRef>
          </c:tx>
          <c:spPr>
            <a:solidFill>
              <a:srgbClr val="0098CC"/>
            </a:solidFill>
            <a:ln>
              <a:noFill/>
            </a:ln>
            <a:effectLst/>
          </c:spPr>
          <c:invertIfNegative val="0"/>
          <c:dPt>
            <c:idx val="0"/>
            <c:invertIfNegative val="0"/>
            <c:bubble3D val="0"/>
            <c:spPr>
              <a:solidFill>
                <a:srgbClr val="0098CC"/>
              </a:solidFill>
              <a:ln>
                <a:noFill/>
              </a:ln>
              <a:effectLst/>
            </c:spPr>
            <c:extLst>
              <c:ext xmlns:c16="http://schemas.microsoft.com/office/drawing/2014/chart" uri="{C3380CC4-5D6E-409C-BE32-E72D297353CC}">
                <c16:uniqueId val="{00000006-9CC0-4138-BC5A-B6AAEBB9F75D}"/>
              </c:ext>
            </c:extLst>
          </c:dPt>
          <c:dPt>
            <c:idx val="1"/>
            <c:invertIfNegative val="0"/>
            <c:bubble3D val="0"/>
            <c:spPr>
              <a:solidFill>
                <a:srgbClr val="7549B1"/>
              </a:solidFill>
              <a:ln>
                <a:noFill/>
              </a:ln>
              <a:effectLst/>
            </c:spPr>
            <c:extLst>
              <c:ext xmlns:c16="http://schemas.microsoft.com/office/drawing/2014/chart" uri="{C3380CC4-5D6E-409C-BE32-E72D297353CC}">
                <c16:uniqueId val="{00000008-9CC0-4138-BC5A-B6AAEBB9F75D}"/>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Sex!$AF$1:$AG$1</c:f>
              <c:numCache>
                <c:formatCode>General</c:formatCode>
                <c:ptCount val="2"/>
                <c:pt idx="0">
                  <c:v>2022</c:v>
                </c:pt>
                <c:pt idx="1">
                  <c:v>2021</c:v>
                </c:pt>
              </c:numCache>
            </c:numRef>
          </c:cat>
          <c:val>
            <c:numRef>
              <c:f>Sex!$AF$3:$AG$3</c:f>
              <c:numCache>
                <c:formatCode>0%</c:formatCode>
                <c:ptCount val="2"/>
                <c:pt idx="0">
                  <c:v>0.44444444444444442</c:v>
                </c:pt>
                <c:pt idx="1">
                  <c:v>0.69230769230769229</c:v>
                </c:pt>
              </c:numCache>
            </c:numRef>
          </c:val>
          <c:extLst>
            <c:ext xmlns:c16="http://schemas.microsoft.com/office/drawing/2014/chart" uri="{C3380CC4-5D6E-409C-BE32-E72D297353CC}">
              <c16:uniqueId val="{00000009-9CC0-4138-BC5A-B6AAEBB9F75D}"/>
            </c:ext>
          </c:extLst>
        </c:ser>
        <c:dLbls>
          <c:dLblPos val="outEnd"/>
          <c:showLegendKey val="0"/>
          <c:showVal val="1"/>
          <c:showCatName val="0"/>
          <c:showSerName val="0"/>
          <c:showPercent val="0"/>
          <c:showBubbleSize val="0"/>
        </c:dLbls>
        <c:gapWidth val="219"/>
        <c:overlap val="-27"/>
        <c:axId val="1078557871"/>
        <c:axId val="1078561199"/>
      </c:barChart>
      <c:catAx>
        <c:axId val="1078557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78561199"/>
        <c:crosses val="autoZero"/>
        <c:auto val="1"/>
        <c:lblAlgn val="ctr"/>
        <c:lblOffset val="100"/>
        <c:noMultiLvlLbl val="0"/>
      </c:catAx>
      <c:valAx>
        <c:axId val="1078561199"/>
        <c:scaling>
          <c:orientation val="minMax"/>
        </c:scaling>
        <c:delete val="1"/>
        <c:axPos val="l"/>
        <c:numFmt formatCode="0%" sourceLinked="1"/>
        <c:majorTickMark val="none"/>
        <c:minorTickMark val="none"/>
        <c:tickLblPos val="nextTo"/>
        <c:crossAx val="1078557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latin typeface="Arial" panose="020B0604020202020204" pitchFamily="34" charset="0"/>
                <a:cs typeface="Arial" panose="020B0604020202020204" pitchFamily="34" charset="0"/>
              </a:rPr>
              <a:t>Age distribution: 2022 employee group</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Age!$B$16</c:f>
              <c:strCache>
                <c:ptCount val="1"/>
                <c:pt idx="0">
                  <c:v>2022 Age distribution: employee group</c:v>
                </c:pt>
              </c:strCache>
            </c:strRef>
          </c:tx>
          <c:spPr>
            <a:solidFill>
              <a:srgbClr val="0098C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Age!$A$17:$A$22</c:f>
              <c:strCache>
                <c:ptCount val="6"/>
                <c:pt idx="0">
                  <c:v>30-34</c:v>
                </c:pt>
                <c:pt idx="1">
                  <c:v>35-39</c:v>
                </c:pt>
                <c:pt idx="2">
                  <c:v>40-44</c:v>
                </c:pt>
                <c:pt idx="3">
                  <c:v>45-49</c:v>
                </c:pt>
                <c:pt idx="4">
                  <c:v>50 or above</c:v>
                </c:pt>
                <c:pt idx="5">
                  <c:v>Prefer not to say</c:v>
                </c:pt>
              </c:strCache>
            </c:strRef>
          </c:cat>
          <c:val>
            <c:numRef>
              <c:f>Age!$B$17:$B$22</c:f>
              <c:numCache>
                <c:formatCode>0%</c:formatCode>
                <c:ptCount val="6"/>
                <c:pt idx="0">
                  <c:v>0.11</c:v>
                </c:pt>
                <c:pt idx="1">
                  <c:v>0.2</c:v>
                </c:pt>
                <c:pt idx="2">
                  <c:v>0.2</c:v>
                </c:pt>
                <c:pt idx="3">
                  <c:v>0.14000000000000001</c:v>
                </c:pt>
                <c:pt idx="4">
                  <c:v>0.31</c:v>
                </c:pt>
                <c:pt idx="5">
                  <c:v>0.03</c:v>
                </c:pt>
              </c:numCache>
            </c:numRef>
          </c:val>
          <c:extLst>
            <c:ext xmlns:c16="http://schemas.microsoft.com/office/drawing/2014/chart" uri="{C3380CC4-5D6E-409C-BE32-E72D297353CC}">
              <c16:uniqueId val="{00000000-9DB1-4D3A-AAB2-31972C586BCB}"/>
            </c:ext>
          </c:extLst>
        </c:ser>
        <c:dLbls>
          <c:showLegendKey val="0"/>
          <c:showVal val="0"/>
          <c:showCatName val="0"/>
          <c:showSerName val="0"/>
          <c:showPercent val="0"/>
          <c:showBubbleSize val="0"/>
        </c:dLbls>
        <c:gapWidth val="182"/>
        <c:axId val="538339807"/>
        <c:axId val="538349791"/>
      </c:barChart>
      <c:catAx>
        <c:axId val="538339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38349791"/>
        <c:crosses val="autoZero"/>
        <c:auto val="1"/>
        <c:lblAlgn val="ctr"/>
        <c:lblOffset val="100"/>
        <c:noMultiLvlLbl val="0"/>
      </c:catAx>
      <c:valAx>
        <c:axId val="538349791"/>
        <c:scaling>
          <c:orientation val="minMax"/>
        </c:scaling>
        <c:delete val="1"/>
        <c:axPos val="l"/>
        <c:numFmt formatCode="0%" sourceLinked="1"/>
        <c:majorTickMark val="none"/>
        <c:minorTickMark val="none"/>
        <c:tickLblPos val="nextTo"/>
        <c:crossAx val="5383398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Age distribution:</a:t>
            </a:r>
            <a:r>
              <a:rPr lang="en-GB" sz="1200" baseline="0">
                <a:latin typeface="Arial" panose="020B0604020202020204" pitchFamily="34" charset="0"/>
                <a:cs typeface="Arial" panose="020B0604020202020204" pitchFamily="34" charset="0"/>
              </a:rPr>
              <a:t> employee group</a:t>
            </a:r>
            <a:endParaRPr lang="en-GB" sz="12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Age!$H$16</c:f>
              <c:strCache>
                <c:ptCount val="1"/>
                <c:pt idx="0">
                  <c:v>2022</c:v>
                </c:pt>
              </c:strCache>
            </c:strRef>
          </c:tx>
          <c:spPr>
            <a:solidFill>
              <a:srgbClr val="0098CC"/>
            </a:solidFill>
            <a:ln>
              <a:noFill/>
            </a:ln>
            <a:effectLst/>
          </c:spPr>
          <c:invertIfNegative val="0"/>
          <c:cat>
            <c:strRef>
              <c:f>Age!$G$17:$G$21</c:f>
              <c:strCache>
                <c:ptCount val="5"/>
                <c:pt idx="0">
                  <c:v>34 or below</c:v>
                </c:pt>
                <c:pt idx="1">
                  <c:v>35-39</c:v>
                </c:pt>
                <c:pt idx="2">
                  <c:v>40 - 44</c:v>
                </c:pt>
                <c:pt idx="3">
                  <c:v>45 or above</c:v>
                </c:pt>
                <c:pt idx="4">
                  <c:v>Prefer not to say</c:v>
                </c:pt>
              </c:strCache>
            </c:strRef>
          </c:cat>
          <c:val>
            <c:numRef>
              <c:f>Age!$H$17:$H$21</c:f>
              <c:numCache>
                <c:formatCode>0%</c:formatCode>
                <c:ptCount val="5"/>
                <c:pt idx="0">
                  <c:v>0.11</c:v>
                </c:pt>
                <c:pt idx="1">
                  <c:v>0.2</c:v>
                </c:pt>
                <c:pt idx="2">
                  <c:v>0.2</c:v>
                </c:pt>
                <c:pt idx="3">
                  <c:v>0.46</c:v>
                </c:pt>
                <c:pt idx="4">
                  <c:v>0.03</c:v>
                </c:pt>
              </c:numCache>
            </c:numRef>
          </c:val>
          <c:extLst>
            <c:ext xmlns:c16="http://schemas.microsoft.com/office/drawing/2014/chart" uri="{C3380CC4-5D6E-409C-BE32-E72D297353CC}">
              <c16:uniqueId val="{00000000-A648-4FEE-B7FC-75AEC316252A}"/>
            </c:ext>
          </c:extLst>
        </c:ser>
        <c:ser>
          <c:idx val="1"/>
          <c:order val="1"/>
          <c:tx>
            <c:strRef>
              <c:f>Age!$I$16</c:f>
              <c:strCache>
                <c:ptCount val="1"/>
                <c:pt idx="0">
                  <c:v>2021</c:v>
                </c:pt>
              </c:strCache>
            </c:strRef>
          </c:tx>
          <c:spPr>
            <a:solidFill>
              <a:srgbClr val="7549B1"/>
            </a:solidFill>
            <a:ln>
              <a:noFill/>
            </a:ln>
            <a:effectLst/>
          </c:spPr>
          <c:invertIfNegative val="0"/>
          <c:cat>
            <c:strRef>
              <c:f>Age!$G$17:$G$21</c:f>
              <c:strCache>
                <c:ptCount val="5"/>
                <c:pt idx="0">
                  <c:v>34 or below</c:v>
                </c:pt>
                <c:pt idx="1">
                  <c:v>35-39</c:v>
                </c:pt>
                <c:pt idx="2">
                  <c:v>40 - 44</c:v>
                </c:pt>
                <c:pt idx="3">
                  <c:v>45 or above</c:v>
                </c:pt>
                <c:pt idx="4">
                  <c:v>Prefer not to say</c:v>
                </c:pt>
              </c:strCache>
            </c:strRef>
          </c:cat>
          <c:val>
            <c:numRef>
              <c:f>Age!$I$17:$I$21</c:f>
              <c:numCache>
                <c:formatCode>0%</c:formatCode>
                <c:ptCount val="5"/>
                <c:pt idx="0">
                  <c:v>0.18</c:v>
                </c:pt>
                <c:pt idx="1">
                  <c:v>0.21</c:v>
                </c:pt>
                <c:pt idx="2">
                  <c:v>0.15</c:v>
                </c:pt>
                <c:pt idx="3">
                  <c:v>0.46</c:v>
                </c:pt>
                <c:pt idx="4">
                  <c:v>0</c:v>
                </c:pt>
              </c:numCache>
            </c:numRef>
          </c:val>
          <c:extLst>
            <c:ext xmlns:c16="http://schemas.microsoft.com/office/drawing/2014/chart" uri="{C3380CC4-5D6E-409C-BE32-E72D297353CC}">
              <c16:uniqueId val="{00000001-A648-4FEE-B7FC-75AEC316252A}"/>
            </c:ext>
          </c:extLst>
        </c:ser>
        <c:ser>
          <c:idx val="2"/>
          <c:order val="2"/>
          <c:tx>
            <c:strRef>
              <c:f>Age!$J$16</c:f>
              <c:strCache>
                <c:ptCount val="1"/>
                <c:pt idx="0">
                  <c:v>2019</c:v>
                </c:pt>
              </c:strCache>
            </c:strRef>
          </c:tx>
          <c:spPr>
            <a:solidFill>
              <a:srgbClr val="AAC2C7"/>
            </a:solidFill>
            <a:ln>
              <a:noFill/>
            </a:ln>
            <a:effectLst/>
          </c:spPr>
          <c:invertIfNegative val="0"/>
          <c:cat>
            <c:strRef>
              <c:f>Age!$G$17:$G$21</c:f>
              <c:strCache>
                <c:ptCount val="5"/>
                <c:pt idx="0">
                  <c:v>34 or below</c:v>
                </c:pt>
                <c:pt idx="1">
                  <c:v>35-39</c:v>
                </c:pt>
                <c:pt idx="2">
                  <c:v>40 - 44</c:v>
                </c:pt>
                <c:pt idx="3">
                  <c:v>45 or above</c:v>
                </c:pt>
                <c:pt idx="4">
                  <c:v>Prefer not to say</c:v>
                </c:pt>
              </c:strCache>
            </c:strRef>
          </c:cat>
          <c:val>
            <c:numRef>
              <c:f>Age!$J$17:$J$21</c:f>
              <c:numCache>
                <c:formatCode>0%</c:formatCode>
                <c:ptCount val="5"/>
                <c:pt idx="0">
                  <c:v>0.21</c:v>
                </c:pt>
                <c:pt idx="1">
                  <c:v>0.18</c:v>
                </c:pt>
                <c:pt idx="2">
                  <c:v>0.18</c:v>
                </c:pt>
                <c:pt idx="3">
                  <c:v>0.39</c:v>
                </c:pt>
                <c:pt idx="4">
                  <c:v>0.04</c:v>
                </c:pt>
              </c:numCache>
            </c:numRef>
          </c:val>
          <c:extLst>
            <c:ext xmlns:c16="http://schemas.microsoft.com/office/drawing/2014/chart" uri="{C3380CC4-5D6E-409C-BE32-E72D297353CC}">
              <c16:uniqueId val="{00000002-A648-4FEE-B7FC-75AEC316252A}"/>
            </c:ext>
          </c:extLst>
        </c:ser>
        <c:dLbls>
          <c:showLegendKey val="0"/>
          <c:showVal val="0"/>
          <c:showCatName val="0"/>
          <c:showSerName val="0"/>
          <c:showPercent val="0"/>
          <c:showBubbleSize val="0"/>
        </c:dLbls>
        <c:gapWidth val="182"/>
        <c:axId val="538333567"/>
        <c:axId val="538333983"/>
      </c:barChart>
      <c:catAx>
        <c:axId val="538333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38333983"/>
        <c:crosses val="autoZero"/>
        <c:auto val="1"/>
        <c:lblAlgn val="ctr"/>
        <c:lblOffset val="100"/>
        <c:noMultiLvlLbl val="0"/>
      </c:catAx>
      <c:valAx>
        <c:axId val="5383339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38333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Age</a:t>
            </a:r>
            <a:r>
              <a:rPr lang="en-GB" sz="1200" baseline="0">
                <a:latin typeface="Arial" panose="020B0604020202020204" pitchFamily="34" charset="0"/>
                <a:cs typeface="Arial" panose="020B0604020202020204" pitchFamily="34" charset="0"/>
              </a:rPr>
              <a:t> distribution: 2022 trustee group</a:t>
            </a:r>
            <a:endParaRPr lang="en-GB" sz="12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lgn="ct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Age!$P$16</c:f>
              <c:strCache>
                <c:ptCount val="1"/>
                <c:pt idx="0">
                  <c:v>Count of Age(years)</c:v>
                </c:pt>
              </c:strCache>
            </c:strRef>
          </c:tx>
          <c:spPr>
            <a:solidFill>
              <a:srgbClr val="0098C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Age!$O$17:$O$19</c:f>
              <c:strCache>
                <c:ptCount val="3"/>
                <c:pt idx="0">
                  <c:v>40 - 64 </c:v>
                </c:pt>
                <c:pt idx="1">
                  <c:v>65+</c:v>
                </c:pt>
                <c:pt idx="2">
                  <c:v>Prefer not to say</c:v>
                </c:pt>
              </c:strCache>
            </c:strRef>
          </c:cat>
          <c:val>
            <c:numRef>
              <c:f>Age!$P$17:$P$19</c:f>
              <c:numCache>
                <c:formatCode>0%</c:formatCode>
                <c:ptCount val="3"/>
                <c:pt idx="0">
                  <c:v>0.4</c:v>
                </c:pt>
                <c:pt idx="1">
                  <c:v>0.5</c:v>
                </c:pt>
                <c:pt idx="2">
                  <c:v>0.1</c:v>
                </c:pt>
              </c:numCache>
            </c:numRef>
          </c:val>
          <c:extLst>
            <c:ext xmlns:c16="http://schemas.microsoft.com/office/drawing/2014/chart" uri="{C3380CC4-5D6E-409C-BE32-E72D297353CC}">
              <c16:uniqueId val="{00000000-4103-4015-A673-3505EAF4A2B1}"/>
            </c:ext>
          </c:extLst>
        </c:ser>
        <c:dLbls>
          <c:showLegendKey val="0"/>
          <c:showVal val="0"/>
          <c:showCatName val="0"/>
          <c:showSerName val="0"/>
          <c:showPercent val="0"/>
          <c:showBubbleSize val="0"/>
        </c:dLbls>
        <c:gapWidth val="219"/>
        <c:overlap val="-27"/>
        <c:axId val="768500559"/>
        <c:axId val="768503887"/>
      </c:barChart>
      <c:catAx>
        <c:axId val="768500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68503887"/>
        <c:crosses val="autoZero"/>
        <c:auto val="1"/>
        <c:lblAlgn val="ctr"/>
        <c:lblOffset val="100"/>
        <c:noMultiLvlLbl val="0"/>
      </c:catAx>
      <c:valAx>
        <c:axId val="768503887"/>
        <c:scaling>
          <c:orientation val="minMax"/>
        </c:scaling>
        <c:delete val="1"/>
        <c:axPos val="l"/>
        <c:numFmt formatCode="0%" sourceLinked="1"/>
        <c:majorTickMark val="none"/>
        <c:minorTickMark val="none"/>
        <c:tickLblPos val="nextTo"/>
        <c:crossAx val="7685005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100" b="0" i="0" baseline="0">
                <a:effectLst/>
                <a:latin typeface="Arial" panose="020B0604020202020204" pitchFamily="34" charset="0"/>
                <a:cs typeface="Arial" panose="020B0604020202020204" pitchFamily="34" charset="0"/>
              </a:rPr>
              <a:t>Age distribution: combined trustee &amp; advisor groups</a:t>
            </a:r>
            <a:endParaRPr lang="en-GB" sz="1100">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Age!$X$42</c:f>
              <c:strCache>
                <c:ptCount val="1"/>
                <c:pt idx="0">
                  <c:v>2022</c:v>
                </c:pt>
              </c:strCache>
            </c:strRef>
          </c:tx>
          <c:spPr>
            <a:solidFill>
              <a:srgbClr val="0098C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Age!$W$43:$W$45</c:f>
              <c:strCache>
                <c:ptCount val="3"/>
                <c:pt idx="0">
                  <c:v>Prefer not to say</c:v>
                </c:pt>
                <c:pt idx="1">
                  <c:v>59 or younger</c:v>
                </c:pt>
                <c:pt idx="2">
                  <c:v>60 or older</c:v>
                </c:pt>
              </c:strCache>
            </c:strRef>
          </c:cat>
          <c:val>
            <c:numRef>
              <c:f>Age!$X$43:$X$45</c:f>
              <c:numCache>
                <c:formatCode>0%</c:formatCode>
                <c:ptCount val="3"/>
                <c:pt idx="0">
                  <c:v>0.06</c:v>
                </c:pt>
                <c:pt idx="1">
                  <c:v>0.39</c:v>
                </c:pt>
                <c:pt idx="2">
                  <c:v>0.56000000000000005</c:v>
                </c:pt>
              </c:numCache>
            </c:numRef>
          </c:val>
          <c:extLst>
            <c:ext xmlns:c16="http://schemas.microsoft.com/office/drawing/2014/chart" uri="{C3380CC4-5D6E-409C-BE32-E72D297353CC}">
              <c16:uniqueId val="{00000000-8C7A-4136-A18A-559A62BC6C93}"/>
            </c:ext>
          </c:extLst>
        </c:ser>
        <c:ser>
          <c:idx val="1"/>
          <c:order val="1"/>
          <c:tx>
            <c:strRef>
              <c:f>Age!$Y$42</c:f>
              <c:strCache>
                <c:ptCount val="1"/>
                <c:pt idx="0">
                  <c:v>2021</c:v>
                </c:pt>
              </c:strCache>
            </c:strRef>
          </c:tx>
          <c:spPr>
            <a:solidFill>
              <a:srgbClr val="7549B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Age!$W$43:$W$45</c:f>
              <c:strCache>
                <c:ptCount val="3"/>
                <c:pt idx="0">
                  <c:v>Prefer not to say</c:v>
                </c:pt>
                <c:pt idx="1">
                  <c:v>59 or younger</c:v>
                </c:pt>
                <c:pt idx="2">
                  <c:v>60 or older</c:v>
                </c:pt>
              </c:strCache>
            </c:strRef>
          </c:cat>
          <c:val>
            <c:numRef>
              <c:f>Age!$Y$43:$Y$45</c:f>
              <c:numCache>
                <c:formatCode>0%</c:formatCode>
                <c:ptCount val="3"/>
                <c:pt idx="1">
                  <c:v>0.38890000000000002</c:v>
                </c:pt>
                <c:pt idx="2">
                  <c:v>0.53</c:v>
                </c:pt>
              </c:numCache>
            </c:numRef>
          </c:val>
          <c:extLst>
            <c:ext xmlns:c16="http://schemas.microsoft.com/office/drawing/2014/chart" uri="{C3380CC4-5D6E-409C-BE32-E72D297353CC}">
              <c16:uniqueId val="{00000001-8C7A-4136-A18A-559A62BC6C93}"/>
            </c:ext>
          </c:extLst>
        </c:ser>
        <c:dLbls>
          <c:showLegendKey val="0"/>
          <c:showVal val="0"/>
          <c:showCatName val="0"/>
          <c:showSerName val="0"/>
          <c:showPercent val="0"/>
          <c:showBubbleSize val="0"/>
        </c:dLbls>
        <c:gapWidth val="182"/>
        <c:axId val="1178681263"/>
        <c:axId val="1178679599"/>
      </c:barChart>
      <c:catAx>
        <c:axId val="1178681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8679599"/>
        <c:crosses val="autoZero"/>
        <c:auto val="1"/>
        <c:lblAlgn val="ctr"/>
        <c:lblOffset val="100"/>
        <c:noMultiLvlLbl val="0"/>
      </c:catAx>
      <c:valAx>
        <c:axId val="1178679599"/>
        <c:scaling>
          <c:orientation val="minMax"/>
        </c:scaling>
        <c:delete val="1"/>
        <c:axPos val="l"/>
        <c:numFmt formatCode="0%" sourceLinked="1"/>
        <c:majorTickMark val="none"/>
        <c:minorTickMark val="none"/>
        <c:tickLblPos val="nextTo"/>
        <c:crossAx val="1178681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t>Ethnicity: 2022 employee group</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'Ethnic origin'!$B$14</c:f>
              <c:strCache>
                <c:ptCount val="1"/>
                <c:pt idx="0">
                  <c:v>Count of What is your ethnic group 2?</c:v>
                </c:pt>
              </c:strCache>
            </c:strRef>
          </c:tx>
          <c:spPr>
            <a:solidFill>
              <a:srgbClr val="0098CC"/>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'Ethnic origin'!$A$15:$A$19</c:f>
              <c:strCache>
                <c:ptCount val="4"/>
                <c:pt idx="0">
                  <c:v>Prefer not to say</c:v>
                </c:pt>
                <c:pt idx="1">
                  <c:v>White - English / Welsh / Scottish / Northern Irish / British; and White other</c:v>
                </c:pt>
                <c:pt idx="2">
                  <c:v>Black, Black British, Caribbean or African</c:v>
                </c:pt>
                <c:pt idx="3">
                  <c:v>Asian or Asian British, Mixed or multiple ethnic groups, other ethnic groups*</c:v>
                </c:pt>
              </c:strCache>
            </c:strRef>
          </c:cat>
          <c:val>
            <c:numRef>
              <c:f>'Ethnic origin'!$B$15:$B$19</c:f>
              <c:numCache>
                <c:formatCode>0%</c:formatCode>
                <c:ptCount val="4"/>
                <c:pt idx="0">
                  <c:v>2.86E-2</c:v>
                </c:pt>
                <c:pt idx="1">
                  <c:v>0.71430000000000005</c:v>
                </c:pt>
                <c:pt idx="2">
                  <c:v>0.1143</c:v>
                </c:pt>
                <c:pt idx="3">
                  <c:v>0.1429</c:v>
                </c:pt>
              </c:numCache>
            </c:numRef>
          </c:val>
          <c:extLst>
            <c:ext xmlns:c16="http://schemas.microsoft.com/office/drawing/2014/chart" uri="{C3380CC4-5D6E-409C-BE32-E72D297353CC}">
              <c16:uniqueId val="{00000000-31D7-4926-A4E5-62BE1E9FD864}"/>
            </c:ext>
          </c:extLst>
        </c:ser>
        <c:dLbls>
          <c:showLegendKey val="0"/>
          <c:showVal val="0"/>
          <c:showCatName val="0"/>
          <c:showSerName val="0"/>
          <c:showPercent val="0"/>
          <c:showBubbleSize val="0"/>
        </c:dLbls>
        <c:gapWidth val="182"/>
        <c:axId val="152821983"/>
        <c:axId val="152823647"/>
      </c:barChart>
      <c:catAx>
        <c:axId val="1528219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2823647"/>
        <c:crosses val="autoZero"/>
        <c:auto val="1"/>
        <c:lblAlgn val="ctr"/>
        <c:lblOffset val="100"/>
        <c:noMultiLvlLbl val="0"/>
      </c:catAx>
      <c:valAx>
        <c:axId val="152823647"/>
        <c:scaling>
          <c:orientation val="minMax"/>
        </c:scaling>
        <c:delete val="1"/>
        <c:axPos val="b"/>
        <c:numFmt formatCode="0%" sourceLinked="1"/>
        <c:majorTickMark val="none"/>
        <c:minorTickMark val="none"/>
        <c:tickLblPos val="nextTo"/>
        <c:crossAx val="1528219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35E37-6031-4DF4-B478-A37C1E9F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2179</Words>
  <Characters>12425</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Marshall</dc:creator>
  <cp:keywords/>
  <dc:description/>
  <cp:lastModifiedBy>Sophie Woodward</cp:lastModifiedBy>
  <cp:revision>2</cp:revision>
  <dcterms:created xsi:type="dcterms:W3CDTF">2023-03-14T14:51:00Z</dcterms:created>
  <dcterms:modified xsi:type="dcterms:W3CDTF">2023-03-14T14:51:00Z</dcterms:modified>
</cp:coreProperties>
</file>